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B54B8" w:rsidRPr="00971A87" w:rsidRDefault="00D171D2" w:rsidP="005B54B8">
      <w:pPr>
        <w:spacing w:before="362"/>
        <w:ind w:left="1985"/>
        <w:rPr>
          <w:b/>
          <w:color w:val="000000" w:themeColor="text1"/>
          <w:sz w:val="40"/>
        </w:rPr>
      </w:pPr>
      <w:r w:rsidRPr="00D171D2">
        <w:rPr>
          <w:b/>
          <w:color w:val="000000" w:themeColor="text1"/>
          <w:w w:val="95"/>
          <w:sz w:val="40"/>
        </w:rPr>
        <w:t>Kapitalforeninger (</w:t>
      </w:r>
      <w:r w:rsidR="00576E28">
        <w:rPr>
          <w:b/>
          <w:color w:val="000000" w:themeColor="text1"/>
          <w:w w:val="95"/>
          <w:sz w:val="40"/>
        </w:rPr>
        <w:t>gul</w:t>
      </w:r>
      <w:r w:rsidRPr="00D171D2">
        <w:rPr>
          <w:b/>
          <w:color w:val="000000" w:themeColor="text1"/>
          <w:w w:val="95"/>
          <w:sz w:val="40"/>
        </w:rPr>
        <w:t xml:space="preserve"> risikomærkning)</w:t>
      </w:r>
    </w:p>
    <w:p w:rsidR="004B28D5" w:rsidRPr="00971A87" w:rsidRDefault="00576E28" w:rsidP="00576E28">
      <w:pPr>
        <w:spacing w:line="255" w:lineRule="auto"/>
        <w:ind w:left="1985" w:right="339"/>
        <w:rPr>
          <w:color w:val="808080" w:themeColor="background1" w:themeShade="80"/>
        </w:rPr>
        <w:sectPr w:rsidR="004B28D5" w:rsidRPr="00971A87" w:rsidSect="00971A87">
          <w:pgSz w:w="11906" w:h="16838"/>
          <w:pgMar w:top="1304" w:right="964" w:bottom="1304" w:left="964" w:header="709" w:footer="709" w:gutter="0"/>
          <w:cols w:space="708"/>
          <w:docGrid w:linePitch="360"/>
        </w:sectPr>
      </w:pPr>
      <w:r w:rsidRPr="00576E28">
        <w:rPr>
          <w:color w:val="808080" w:themeColor="background1" w:themeShade="80"/>
        </w:rPr>
        <w:t>En kapitalforening, som er risikomærket gul ifølge Bekendtgørelse om risikomærkning, er en alternativ investeringsfond, som kan investere i mange forskellige typer af værdipapirer. Kapitalforeningen skal for at opnå gul risikomærkning opfylde visse minimumskrav til risikospredning af investeringerne, og den må ikke investere for lånte penge. Denne type kapitalforeninger ligner derfor på mange områder investeringsforeninger, men investeringsuniverset kan være mere komplekst, og risikoen kan være højere.</w:t>
      </w:r>
      <w:r>
        <w:rPr>
          <w:color w:val="808080" w:themeColor="background1" w:themeShade="80"/>
        </w:rPr>
        <w:t xml:space="preserve"> </w:t>
      </w:r>
    </w:p>
    <w:p w:rsidR="00576E28" w:rsidRPr="00A808ED" w:rsidRDefault="00576E28" w:rsidP="00A808ED">
      <w:pPr>
        <w:pStyle w:val="Overskrift1"/>
        <w:spacing w:before="91"/>
        <w:ind w:left="0"/>
        <w:rPr>
          <w:rFonts w:asciiTheme="minorHAnsi" w:hAnsiTheme="minorHAnsi"/>
          <w:color w:val="000000" w:themeColor="text1"/>
          <w:lang w:val="da-DK"/>
        </w:rPr>
      </w:pPr>
      <w:r w:rsidRPr="00A808ED">
        <w:rPr>
          <w:rFonts w:asciiTheme="minorHAnsi" w:hAnsiTheme="minorHAnsi"/>
          <w:color w:val="000000" w:themeColor="text1"/>
          <w:lang w:val="da-DK"/>
        </w:rPr>
        <w:t>Hvad er en kapitalforening?</w:t>
      </w:r>
    </w:p>
    <w:p w:rsidR="00576E28" w:rsidRPr="00A808ED" w:rsidRDefault="00576E28" w:rsidP="00A808ED">
      <w:pPr>
        <w:pStyle w:val="Brdtekst"/>
        <w:spacing w:line="244" w:lineRule="auto"/>
        <w:rPr>
          <w:rFonts w:asciiTheme="minorHAnsi" w:hAnsiTheme="minorHAnsi"/>
          <w:color w:val="808080" w:themeColor="background1" w:themeShade="80"/>
          <w:lang w:val="da-DK"/>
        </w:rPr>
      </w:pPr>
      <w:r w:rsidRPr="00A808ED">
        <w:rPr>
          <w:rFonts w:asciiTheme="minorHAnsi" w:hAnsiTheme="minorHAnsi"/>
          <w:color w:val="808080" w:themeColor="background1" w:themeShade="80"/>
          <w:lang w:val="da-DK"/>
        </w:rPr>
        <w:t>En kapitalforening er en alternativ investeringsfond (AIF), som fungerer som en kollektiv investeringsordning, der investerer i overensstemmelse med en fastlagt investeringsstrategi.</w:t>
      </w:r>
    </w:p>
    <w:p w:rsidR="00576E28" w:rsidRPr="00A808ED" w:rsidRDefault="00576E28" w:rsidP="00A808ED">
      <w:pPr>
        <w:pStyle w:val="Brdtekst"/>
        <w:spacing w:line="244" w:lineRule="auto"/>
        <w:rPr>
          <w:rFonts w:asciiTheme="minorHAnsi" w:hAnsiTheme="minorHAnsi"/>
          <w:color w:val="808080" w:themeColor="background1" w:themeShade="80"/>
          <w:lang w:val="da-DK"/>
        </w:rPr>
      </w:pPr>
    </w:p>
    <w:p w:rsidR="00576E28" w:rsidRPr="00A808ED" w:rsidRDefault="00576E28" w:rsidP="00A808ED">
      <w:pPr>
        <w:pStyle w:val="Brdtekst"/>
        <w:spacing w:line="244" w:lineRule="auto"/>
        <w:rPr>
          <w:rFonts w:asciiTheme="minorHAnsi" w:hAnsiTheme="minorHAnsi"/>
          <w:color w:val="808080" w:themeColor="background1" w:themeShade="80"/>
          <w:lang w:val="da-DK"/>
        </w:rPr>
      </w:pPr>
      <w:r w:rsidRPr="00A808ED">
        <w:rPr>
          <w:rFonts w:asciiTheme="minorHAnsi" w:hAnsiTheme="minorHAnsi"/>
          <w:color w:val="808080" w:themeColor="background1" w:themeShade="80"/>
          <w:lang w:val="da-DK"/>
        </w:rPr>
        <w:t xml:space="preserve">Udover at være organiseret som en kapitalforening kan en AIF også være organiseret som et </w:t>
      </w:r>
      <w:proofErr w:type="spellStart"/>
      <w:r w:rsidRPr="00A808ED">
        <w:rPr>
          <w:rFonts w:asciiTheme="minorHAnsi" w:hAnsiTheme="minorHAnsi"/>
          <w:color w:val="808080" w:themeColor="background1" w:themeShade="80"/>
          <w:lang w:val="da-DK"/>
        </w:rPr>
        <w:t>kommandit</w:t>
      </w:r>
      <w:r w:rsidR="00A808ED">
        <w:rPr>
          <w:rFonts w:asciiTheme="minorHAnsi" w:hAnsiTheme="minorHAnsi"/>
          <w:color w:val="808080" w:themeColor="background1" w:themeShade="80"/>
          <w:lang w:val="da-DK"/>
        </w:rPr>
        <w:t>-</w:t>
      </w:r>
      <w:r w:rsidRPr="00A808ED">
        <w:rPr>
          <w:rFonts w:asciiTheme="minorHAnsi" w:hAnsiTheme="minorHAnsi"/>
          <w:color w:val="808080" w:themeColor="background1" w:themeShade="80"/>
          <w:lang w:val="da-DK"/>
        </w:rPr>
        <w:t>selskab</w:t>
      </w:r>
      <w:proofErr w:type="spellEnd"/>
      <w:r w:rsidRPr="00A808ED">
        <w:rPr>
          <w:rFonts w:asciiTheme="minorHAnsi" w:hAnsiTheme="minorHAnsi"/>
          <w:color w:val="808080" w:themeColor="background1" w:themeShade="80"/>
          <w:lang w:val="da-DK"/>
        </w:rPr>
        <w:t xml:space="preserve"> (K/S) eller et aktieselskab (A/S). En AIF er reguleret i henhold til Lov om forvaltere af alternative investeringsfonde, og organisatorisk ligner den en investeringsforening, med egen bestyrelse og opdeling i afdelinger. Hver afdeling har sin egen investeringspolitik, herunder risikoprofil. Foreningerne er ejet af medlemmerne, og medlemmerne har stemmeret på </w:t>
      </w:r>
      <w:proofErr w:type="spellStart"/>
      <w:r w:rsidR="00A808ED">
        <w:rPr>
          <w:rFonts w:asciiTheme="minorHAnsi" w:hAnsiTheme="minorHAnsi"/>
          <w:color w:val="808080" w:themeColor="background1" w:themeShade="80"/>
          <w:lang w:val="da-DK"/>
        </w:rPr>
        <w:t>g</w:t>
      </w:r>
      <w:r w:rsidRPr="00A808ED">
        <w:rPr>
          <w:rFonts w:asciiTheme="minorHAnsi" w:hAnsiTheme="minorHAnsi"/>
          <w:color w:val="808080" w:themeColor="background1" w:themeShade="80"/>
          <w:lang w:val="da-DK"/>
        </w:rPr>
        <w:t>eneralforsam</w:t>
      </w:r>
      <w:r w:rsidR="00A808ED">
        <w:rPr>
          <w:rFonts w:asciiTheme="minorHAnsi" w:hAnsiTheme="minorHAnsi"/>
          <w:color w:val="808080" w:themeColor="background1" w:themeShade="80"/>
          <w:lang w:val="da-DK"/>
        </w:rPr>
        <w:t>-</w:t>
      </w:r>
      <w:r w:rsidRPr="00A808ED">
        <w:rPr>
          <w:rFonts w:asciiTheme="minorHAnsi" w:hAnsiTheme="minorHAnsi"/>
          <w:color w:val="808080" w:themeColor="background1" w:themeShade="80"/>
          <w:lang w:val="da-DK"/>
        </w:rPr>
        <w:t>lingen</w:t>
      </w:r>
      <w:proofErr w:type="spellEnd"/>
      <w:r w:rsidRPr="00A808ED">
        <w:rPr>
          <w:rFonts w:asciiTheme="minorHAnsi" w:hAnsiTheme="minorHAnsi"/>
          <w:color w:val="808080" w:themeColor="background1" w:themeShade="80"/>
          <w:lang w:val="da-DK"/>
        </w:rPr>
        <w:t xml:space="preserve">, hvor der bl.a. er valg til bestyrelsen. Bestyrelsens primære opgave er at sikre, at foreningen drives forsvarligt og i </w:t>
      </w:r>
      <w:proofErr w:type="spellStart"/>
      <w:r w:rsidRPr="00A808ED">
        <w:rPr>
          <w:rFonts w:asciiTheme="minorHAnsi" w:hAnsiTheme="minorHAnsi"/>
          <w:color w:val="808080" w:themeColor="background1" w:themeShade="80"/>
          <w:lang w:val="da-DK"/>
        </w:rPr>
        <w:t>overens</w:t>
      </w:r>
      <w:r w:rsidR="00A808ED">
        <w:rPr>
          <w:rFonts w:asciiTheme="minorHAnsi" w:hAnsiTheme="minorHAnsi"/>
          <w:color w:val="808080" w:themeColor="background1" w:themeShade="80"/>
          <w:lang w:val="da-DK"/>
        </w:rPr>
        <w:t>-</w:t>
      </w:r>
      <w:r w:rsidRPr="00A808ED">
        <w:rPr>
          <w:rFonts w:asciiTheme="minorHAnsi" w:hAnsiTheme="minorHAnsi"/>
          <w:color w:val="808080" w:themeColor="background1" w:themeShade="80"/>
          <w:lang w:val="da-DK"/>
        </w:rPr>
        <w:t>stemmelse</w:t>
      </w:r>
      <w:proofErr w:type="spellEnd"/>
      <w:r w:rsidRPr="00A808ED">
        <w:rPr>
          <w:rFonts w:asciiTheme="minorHAnsi" w:hAnsiTheme="minorHAnsi"/>
          <w:color w:val="808080" w:themeColor="background1" w:themeShade="80"/>
          <w:lang w:val="da-DK"/>
        </w:rPr>
        <w:t xml:space="preserve"> med vedtægterne.</w:t>
      </w:r>
    </w:p>
    <w:p w:rsidR="00576E28" w:rsidRPr="00A808ED" w:rsidRDefault="00576E28" w:rsidP="00A808ED">
      <w:pPr>
        <w:pStyle w:val="Brdtekst"/>
        <w:spacing w:line="244" w:lineRule="auto"/>
        <w:rPr>
          <w:rFonts w:asciiTheme="minorHAnsi" w:hAnsiTheme="minorHAnsi"/>
          <w:color w:val="808080" w:themeColor="background1" w:themeShade="80"/>
          <w:lang w:val="da-DK"/>
        </w:rPr>
      </w:pPr>
    </w:p>
    <w:p w:rsidR="00576E28" w:rsidRPr="00A808ED" w:rsidRDefault="00576E28" w:rsidP="00A808ED">
      <w:pPr>
        <w:pStyle w:val="Brdtekst"/>
        <w:spacing w:line="244" w:lineRule="auto"/>
        <w:rPr>
          <w:rFonts w:asciiTheme="minorHAnsi" w:hAnsiTheme="minorHAnsi"/>
          <w:color w:val="808080" w:themeColor="background1" w:themeShade="80"/>
          <w:lang w:val="da-DK"/>
        </w:rPr>
      </w:pPr>
      <w:r w:rsidRPr="00A808ED">
        <w:rPr>
          <w:rFonts w:asciiTheme="minorHAnsi" w:hAnsiTheme="minorHAnsi"/>
          <w:color w:val="808080" w:themeColor="background1" w:themeShade="80"/>
          <w:lang w:val="da-DK"/>
        </w:rPr>
        <w:t xml:space="preserve">Hvor investeringsforeninger normalt investerer i aktier, obligationer og lignende, kan kapitalforeninger investere i flere typer af finansielle produkter (likvide midler - herunder valuta) eller de finansielle </w:t>
      </w:r>
      <w:proofErr w:type="spellStart"/>
      <w:r w:rsidRPr="00A808ED">
        <w:rPr>
          <w:rFonts w:asciiTheme="minorHAnsi" w:hAnsiTheme="minorHAnsi"/>
          <w:color w:val="808080" w:themeColor="background1" w:themeShade="80"/>
          <w:lang w:val="da-DK"/>
        </w:rPr>
        <w:t>instru</w:t>
      </w:r>
      <w:proofErr w:type="spellEnd"/>
      <w:r w:rsidRPr="00A808ED">
        <w:rPr>
          <w:rFonts w:asciiTheme="minorHAnsi" w:hAnsiTheme="minorHAnsi"/>
          <w:color w:val="808080" w:themeColor="background1" w:themeShade="80"/>
          <w:lang w:val="da-DK"/>
        </w:rPr>
        <w:t xml:space="preserve">- menter, som er nævnt i Lov om finansiel virksomhed (bilag 5), hvilket også omfatter andele i </w:t>
      </w:r>
      <w:proofErr w:type="spellStart"/>
      <w:r w:rsidRPr="00A808ED">
        <w:rPr>
          <w:rFonts w:asciiTheme="minorHAnsi" w:hAnsiTheme="minorHAnsi"/>
          <w:color w:val="808080" w:themeColor="background1" w:themeShade="80"/>
          <w:lang w:val="da-DK"/>
        </w:rPr>
        <w:t>AIF’er</w:t>
      </w:r>
      <w:proofErr w:type="spellEnd"/>
      <w:r w:rsidRPr="00A808ED">
        <w:rPr>
          <w:rFonts w:asciiTheme="minorHAnsi" w:hAnsiTheme="minorHAnsi"/>
          <w:color w:val="808080" w:themeColor="background1" w:themeShade="80"/>
          <w:lang w:val="da-DK"/>
        </w:rPr>
        <w:t xml:space="preserve"> (uanset hvad denne AIF investerer i).</w:t>
      </w:r>
    </w:p>
    <w:p w:rsidR="00576E28" w:rsidRPr="00A808ED" w:rsidRDefault="00576E28" w:rsidP="00A808ED">
      <w:pPr>
        <w:pStyle w:val="Brdtekst"/>
        <w:spacing w:line="244" w:lineRule="auto"/>
        <w:rPr>
          <w:rFonts w:asciiTheme="minorHAnsi" w:hAnsiTheme="minorHAnsi"/>
          <w:color w:val="808080" w:themeColor="background1" w:themeShade="80"/>
          <w:lang w:val="da-DK"/>
        </w:rPr>
      </w:pPr>
    </w:p>
    <w:p w:rsidR="00576E28" w:rsidRDefault="00576E28" w:rsidP="00A808ED">
      <w:pPr>
        <w:pStyle w:val="Brdtekst"/>
        <w:spacing w:line="244" w:lineRule="auto"/>
        <w:rPr>
          <w:rFonts w:asciiTheme="minorHAnsi" w:hAnsiTheme="minorHAnsi"/>
          <w:color w:val="808080" w:themeColor="background1" w:themeShade="80"/>
          <w:lang w:val="da-DK"/>
        </w:rPr>
      </w:pPr>
      <w:r w:rsidRPr="00A808ED">
        <w:rPr>
          <w:rFonts w:asciiTheme="minorHAnsi" w:hAnsiTheme="minorHAnsi"/>
          <w:color w:val="808080" w:themeColor="background1" w:themeShade="80"/>
          <w:lang w:val="da-DK"/>
        </w:rPr>
        <w:t xml:space="preserve">Som udgangspunkt er der er ikke nogen grænse for, hvilke og hvor store risici en AIF må tage, ud over hvad der følger af de dokumenter, som er udarbejdet for den enkelte AIF (vedtægter samt eventuelt prospekt og dokumentet Væsentlig investorinformation). En AIF kan derfor investere i alle typer aktiver uden noget krav om risikospredning. </w:t>
      </w:r>
      <w:r w:rsidRPr="00A808ED">
        <w:rPr>
          <w:rFonts w:asciiTheme="minorHAnsi" w:hAnsiTheme="minorHAnsi"/>
          <w:color w:val="808080" w:themeColor="background1" w:themeShade="80"/>
          <w:lang w:val="da-DK"/>
        </w:rPr>
        <w:t>En AIF kan placere hele sin formue i ét aktiv eller én type af aktiver, eksempelvis aktier, ejendomme, guld, olie eller infrastruktur som eksempelvis vindmøller. En AIF kan også optage lån og ubegrænset investere for de lånte penge (geare investeringerne). En AIF er derfor som udgangspunkt risikomærket rød hvor produkttypen er vanskelig at gennemskue.</w:t>
      </w:r>
    </w:p>
    <w:p w:rsidR="00A808ED" w:rsidRPr="00A808ED" w:rsidRDefault="00A808ED" w:rsidP="00A808ED">
      <w:pPr>
        <w:pStyle w:val="Brdtekst"/>
        <w:spacing w:line="244" w:lineRule="auto"/>
        <w:rPr>
          <w:rFonts w:asciiTheme="minorHAnsi" w:hAnsiTheme="minorHAnsi"/>
          <w:color w:val="808080" w:themeColor="background1" w:themeShade="80"/>
          <w:lang w:val="da-DK"/>
        </w:rPr>
      </w:pPr>
    </w:p>
    <w:p w:rsidR="00576E28" w:rsidRPr="00A808ED" w:rsidRDefault="00576E28" w:rsidP="00A808ED">
      <w:pPr>
        <w:pStyle w:val="Overskrift1"/>
        <w:spacing w:before="91"/>
        <w:ind w:left="0"/>
        <w:rPr>
          <w:rFonts w:asciiTheme="minorHAnsi" w:hAnsiTheme="minorHAnsi"/>
          <w:color w:val="000000" w:themeColor="text1"/>
          <w:lang w:val="da-DK"/>
        </w:rPr>
      </w:pPr>
      <w:r w:rsidRPr="00A808ED">
        <w:rPr>
          <w:rFonts w:asciiTheme="minorHAnsi" w:hAnsiTheme="minorHAnsi"/>
          <w:color w:val="000000" w:themeColor="text1"/>
          <w:lang w:val="da-DK"/>
        </w:rPr>
        <w:t>Kapitalforeninger med gul risikomærkning</w:t>
      </w:r>
    </w:p>
    <w:p w:rsidR="00576E28" w:rsidRPr="00A808ED" w:rsidRDefault="00576E28" w:rsidP="00A808ED">
      <w:pPr>
        <w:pStyle w:val="Brdtekst"/>
        <w:spacing w:line="244" w:lineRule="auto"/>
        <w:rPr>
          <w:rFonts w:asciiTheme="minorHAnsi" w:hAnsiTheme="minorHAnsi"/>
          <w:color w:val="808080" w:themeColor="background1" w:themeShade="80"/>
          <w:lang w:val="da-DK"/>
        </w:rPr>
      </w:pPr>
      <w:r w:rsidRPr="00A808ED">
        <w:rPr>
          <w:rFonts w:asciiTheme="minorHAnsi" w:hAnsiTheme="minorHAnsi"/>
          <w:color w:val="808080" w:themeColor="background1" w:themeShade="80"/>
          <w:lang w:val="da-DK"/>
        </w:rPr>
        <w:t xml:space="preserve">For at en kapitalforening er risikomærket gul, skal det af foreningens vedtægter fremgå, at foreningen ikke må optage lån med henblik på at foretage investeringer (gearing af investeringerne).  </w:t>
      </w:r>
      <w:r w:rsidR="00A808ED">
        <w:rPr>
          <w:rFonts w:asciiTheme="minorHAnsi" w:hAnsiTheme="minorHAnsi"/>
          <w:color w:val="808080" w:themeColor="background1" w:themeShade="80"/>
          <w:lang w:val="da-DK"/>
        </w:rPr>
        <w:t>L</w:t>
      </w:r>
      <w:r w:rsidRPr="00A808ED">
        <w:rPr>
          <w:rFonts w:asciiTheme="minorHAnsi" w:hAnsiTheme="minorHAnsi"/>
          <w:color w:val="808080" w:themeColor="background1" w:themeShade="80"/>
          <w:lang w:val="da-DK"/>
        </w:rPr>
        <w:t>igeledes skal det fremgå, at foreningen følger visse</w:t>
      </w:r>
      <w:r w:rsidR="00A808ED">
        <w:rPr>
          <w:rFonts w:asciiTheme="minorHAnsi" w:hAnsiTheme="minorHAnsi"/>
          <w:color w:val="808080" w:themeColor="background1" w:themeShade="80"/>
          <w:lang w:val="da-DK"/>
        </w:rPr>
        <w:t xml:space="preserve"> </w:t>
      </w:r>
      <w:r w:rsidRPr="00A808ED">
        <w:rPr>
          <w:rFonts w:asciiTheme="minorHAnsi" w:hAnsiTheme="minorHAnsi"/>
          <w:color w:val="808080" w:themeColor="background1" w:themeShade="80"/>
          <w:lang w:val="da-DK"/>
        </w:rPr>
        <w:t>regler for spredning af risikoen på flere for- skellige værdipapirer.</w:t>
      </w:r>
    </w:p>
    <w:p w:rsidR="00576E28" w:rsidRPr="00A808ED" w:rsidRDefault="00576E28" w:rsidP="00A808ED">
      <w:pPr>
        <w:pStyle w:val="Brdtekst"/>
        <w:spacing w:line="244" w:lineRule="auto"/>
        <w:rPr>
          <w:rFonts w:asciiTheme="minorHAnsi" w:hAnsiTheme="minorHAnsi"/>
          <w:color w:val="808080" w:themeColor="background1" w:themeShade="80"/>
          <w:lang w:val="da-DK"/>
        </w:rPr>
      </w:pPr>
    </w:p>
    <w:p w:rsidR="00576E28" w:rsidRPr="00A808ED" w:rsidRDefault="00576E28" w:rsidP="00A808ED">
      <w:pPr>
        <w:pStyle w:val="Overskrift1"/>
        <w:spacing w:before="91"/>
        <w:ind w:left="0"/>
        <w:rPr>
          <w:rFonts w:asciiTheme="minorHAnsi" w:hAnsiTheme="minorHAnsi"/>
          <w:color w:val="000000" w:themeColor="text1"/>
          <w:lang w:val="da-DK"/>
        </w:rPr>
      </w:pPr>
      <w:r w:rsidRPr="00A808ED">
        <w:rPr>
          <w:rFonts w:asciiTheme="minorHAnsi" w:hAnsiTheme="minorHAnsi"/>
          <w:color w:val="000000" w:themeColor="text1"/>
          <w:lang w:val="da-DK"/>
        </w:rPr>
        <w:t>Hvorfor investere i kapitalforeninger med gul risikomærkning?</w:t>
      </w:r>
    </w:p>
    <w:p w:rsidR="00576E28" w:rsidRPr="00A808ED" w:rsidRDefault="00576E28" w:rsidP="00A808ED">
      <w:pPr>
        <w:pStyle w:val="Brdtekst"/>
        <w:spacing w:line="244" w:lineRule="auto"/>
        <w:rPr>
          <w:rFonts w:asciiTheme="minorHAnsi" w:hAnsiTheme="minorHAnsi"/>
          <w:color w:val="808080" w:themeColor="background1" w:themeShade="80"/>
          <w:lang w:val="da-DK"/>
        </w:rPr>
      </w:pPr>
      <w:r w:rsidRPr="00A808ED">
        <w:rPr>
          <w:rFonts w:asciiTheme="minorHAnsi" w:hAnsiTheme="minorHAnsi"/>
          <w:color w:val="808080" w:themeColor="background1" w:themeShade="80"/>
          <w:lang w:val="da-DK"/>
        </w:rPr>
        <w:t>Kapitalforeninger med gul risiko</w:t>
      </w:r>
      <w:r w:rsidR="00A808ED">
        <w:rPr>
          <w:rFonts w:asciiTheme="minorHAnsi" w:hAnsiTheme="minorHAnsi"/>
          <w:color w:val="808080" w:themeColor="background1" w:themeShade="80"/>
          <w:lang w:val="da-DK"/>
        </w:rPr>
        <w:t>-m</w:t>
      </w:r>
      <w:r w:rsidRPr="00A808ED">
        <w:rPr>
          <w:rFonts w:asciiTheme="minorHAnsi" w:hAnsiTheme="minorHAnsi"/>
          <w:color w:val="808080" w:themeColor="background1" w:themeShade="80"/>
          <w:lang w:val="da-DK"/>
        </w:rPr>
        <w:t>ærkning (herefter blot kapital</w:t>
      </w:r>
      <w:r w:rsidR="00A808ED">
        <w:rPr>
          <w:rFonts w:asciiTheme="minorHAnsi" w:hAnsiTheme="minorHAnsi"/>
          <w:color w:val="808080" w:themeColor="background1" w:themeShade="80"/>
          <w:lang w:val="da-DK"/>
        </w:rPr>
        <w:t>-</w:t>
      </w:r>
      <w:r w:rsidRPr="00A808ED">
        <w:rPr>
          <w:rFonts w:asciiTheme="minorHAnsi" w:hAnsiTheme="minorHAnsi"/>
          <w:color w:val="808080" w:themeColor="background1" w:themeShade="80"/>
          <w:lang w:val="da-DK"/>
        </w:rPr>
        <w:t>forening) kan investere i mange forskellige typer af værdipapirer herunder værdipapirer, der</w:t>
      </w:r>
      <w:r w:rsidR="00A808ED">
        <w:rPr>
          <w:rFonts w:asciiTheme="minorHAnsi" w:hAnsiTheme="minorHAnsi"/>
          <w:color w:val="808080" w:themeColor="background1" w:themeShade="80"/>
          <w:lang w:val="da-DK"/>
        </w:rPr>
        <w:t xml:space="preserve"> </w:t>
      </w:r>
      <w:r w:rsidRPr="00A808ED">
        <w:rPr>
          <w:rFonts w:asciiTheme="minorHAnsi" w:hAnsiTheme="minorHAnsi"/>
          <w:color w:val="808080" w:themeColor="background1" w:themeShade="80"/>
          <w:lang w:val="da-DK"/>
        </w:rPr>
        <w:t>er risiko</w:t>
      </w:r>
      <w:r w:rsidR="00A808ED">
        <w:rPr>
          <w:rFonts w:asciiTheme="minorHAnsi" w:hAnsiTheme="minorHAnsi"/>
          <w:color w:val="808080" w:themeColor="background1" w:themeShade="80"/>
          <w:lang w:val="da-DK"/>
        </w:rPr>
        <w:t>-</w:t>
      </w:r>
      <w:r w:rsidRPr="00A808ED">
        <w:rPr>
          <w:rFonts w:asciiTheme="minorHAnsi" w:hAnsiTheme="minorHAnsi"/>
          <w:color w:val="808080" w:themeColor="background1" w:themeShade="80"/>
          <w:lang w:val="da-DK"/>
        </w:rPr>
        <w:t xml:space="preserve">mærkede røde. De er velegnede til investorer, som ønsker en fornuftig spredning af risikoen, og som ikke ønsker, at deres investeringer geares, så der er risiko for, at de kan tabe mere end det investerede beløb. Investeringerne i foreningen bliver løbende plejet af </w:t>
      </w:r>
      <w:proofErr w:type="spellStart"/>
      <w:r w:rsidRPr="00A808ED">
        <w:rPr>
          <w:rFonts w:asciiTheme="minorHAnsi" w:hAnsiTheme="minorHAnsi"/>
          <w:color w:val="808080" w:themeColor="background1" w:themeShade="80"/>
          <w:lang w:val="da-DK"/>
        </w:rPr>
        <w:t>professio</w:t>
      </w:r>
      <w:r w:rsidR="00A808ED">
        <w:rPr>
          <w:rFonts w:asciiTheme="minorHAnsi" w:hAnsiTheme="minorHAnsi"/>
          <w:color w:val="808080" w:themeColor="background1" w:themeShade="80"/>
          <w:lang w:val="da-DK"/>
        </w:rPr>
        <w:t>-</w:t>
      </w:r>
      <w:r w:rsidRPr="00A808ED">
        <w:rPr>
          <w:rFonts w:asciiTheme="minorHAnsi" w:hAnsiTheme="minorHAnsi"/>
          <w:color w:val="808080" w:themeColor="background1" w:themeShade="80"/>
          <w:lang w:val="da-DK"/>
        </w:rPr>
        <w:t>nelle</w:t>
      </w:r>
      <w:proofErr w:type="spellEnd"/>
      <w:r w:rsidRPr="00A808ED">
        <w:rPr>
          <w:rFonts w:asciiTheme="minorHAnsi" w:hAnsiTheme="minorHAnsi"/>
          <w:color w:val="808080" w:themeColor="background1" w:themeShade="80"/>
          <w:lang w:val="da-DK"/>
        </w:rPr>
        <w:t xml:space="preserve"> porteføljeforvaltere. Du kan følge udviklingen i investeringerne på foreningens hjemmeside og via den information, foreningen i øvrigt stiller til rådighed.</w:t>
      </w:r>
    </w:p>
    <w:p w:rsidR="00576E28" w:rsidRPr="00A808ED" w:rsidRDefault="00576E28" w:rsidP="00A808ED">
      <w:pPr>
        <w:pStyle w:val="Brdtekst"/>
        <w:spacing w:line="244" w:lineRule="auto"/>
        <w:rPr>
          <w:rFonts w:asciiTheme="minorHAnsi" w:hAnsiTheme="minorHAnsi"/>
          <w:color w:val="808080" w:themeColor="background1" w:themeShade="80"/>
          <w:lang w:val="da-DK"/>
        </w:rPr>
      </w:pPr>
    </w:p>
    <w:p w:rsidR="00576E28" w:rsidRPr="00A808ED" w:rsidRDefault="00576E28" w:rsidP="00A808ED">
      <w:pPr>
        <w:pStyle w:val="Brdtekst"/>
        <w:spacing w:line="244" w:lineRule="auto"/>
        <w:rPr>
          <w:rFonts w:asciiTheme="minorHAnsi" w:hAnsiTheme="minorHAnsi"/>
          <w:color w:val="808080" w:themeColor="background1" w:themeShade="80"/>
          <w:lang w:val="da-DK"/>
        </w:rPr>
      </w:pPr>
      <w:r w:rsidRPr="00A808ED">
        <w:rPr>
          <w:rFonts w:asciiTheme="minorHAnsi" w:hAnsiTheme="minorHAnsi"/>
          <w:color w:val="808080" w:themeColor="background1" w:themeShade="80"/>
          <w:lang w:val="da-DK"/>
        </w:rPr>
        <w:t xml:space="preserve">Kapitalforeninger adskiller sig fra investeringsforeninger ved at have et </w:t>
      </w:r>
      <w:r w:rsidRPr="00A808ED">
        <w:rPr>
          <w:rFonts w:asciiTheme="minorHAnsi" w:hAnsiTheme="minorHAnsi"/>
          <w:color w:val="808080" w:themeColor="background1" w:themeShade="80"/>
          <w:lang w:val="da-DK"/>
        </w:rPr>
        <w:t xml:space="preserve">mere specifikt investeringsformål, fordi kravet til risikospredning ikke er lige så stort som i en </w:t>
      </w:r>
      <w:proofErr w:type="spellStart"/>
      <w:r w:rsidRPr="00A808ED">
        <w:rPr>
          <w:rFonts w:asciiTheme="minorHAnsi" w:hAnsiTheme="minorHAnsi"/>
          <w:color w:val="808080" w:themeColor="background1" w:themeShade="80"/>
          <w:lang w:val="da-DK"/>
        </w:rPr>
        <w:t>investerings</w:t>
      </w:r>
      <w:r w:rsidR="00A808ED">
        <w:rPr>
          <w:rFonts w:asciiTheme="minorHAnsi" w:hAnsiTheme="minorHAnsi"/>
          <w:color w:val="808080" w:themeColor="background1" w:themeShade="80"/>
          <w:lang w:val="da-DK"/>
        </w:rPr>
        <w:t>-</w:t>
      </w:r>
      <w:r w:rsidRPr="00A808ED">
        <w:rPr>
          <w:rFonts w:asciiTheme="minorHAnsi" w:hAnsiTheme="minorHAnsi"/>
          <w:color w:val="808080" w:themeColor="background1" w:themeShade="80"/>
          <w:lang w:val="da-DK"/>
        </w:rPr>
        <w:t>forening</w:t>
      </w:r>
      <w:proofErr w:type="spellEnd"/>
      <w:r w:rsidRPr="00A808ED">
        <w:rPr>
          <w:rFonts w:asciiTheme="minorHAnsi" w:hAnsiTheme="minorHAnsi"/>
          <w:color w:val="808080" w:themeColor="background1" w:themeShade="80"/>
          <w:lang w:val="da-DK"/>
        </w:rPr>
        <w:t>. Her er vist et udvalg af investeringsstrategier, der kan rummes i en kapitalforening.</w:t>
      </w:r>
    </w:p>
    <w:p w:rsidR="00576E28" w:rsidRPr="00A808ED" w:rsidRDefault="00576E28" w:rsidP="00A808ED">
      <w:pPr>
        <w:pStyle w:val="Brdtekst"/>
        <w:spacing w:line="244" w:lineRule="auto"/>
        <w:rPr>
          <w:rFonts w:asciiTheme="minorHAnsi" w:hAnsiTheme="minorHAnsi"/>
          <w:color w:val="808080" w:themeColor="background1" w:themeShade="80"/>
          <w:lang w:val="da-DK"/>
        </w:rPr>
      </w:pPr>
    </w:p>
    <w:p w:rsidR="00576E28" w:rsidRPr="00A808ED" w:rsidRDefault="00576E28" w:rsidP="00A808ED">
      <w:pPr>
        <w:pStyle w:val="Overskrift1"/>
        <w:spacing w:before="91"/>
        <w:ind w:left="0"/>
        <w:rPr>
          <w:rFonts w:asciiTheme="minorHAnsi" w:hAnsiTheme="minorHAnsi"/>
          <w:color w:val="000000" w:themeColor="text1"/>
          <w:lang w:val="da-DK"/>
        </w:rPr>
      </w:pPr>
      <w:r w:rsidRPr="00A808ED">
        <w:rPr>
          <w:rFonts w:asciiTheme="minorHAnsi" w:hAnsiTheme="minorHAnsi"/>
          <w:color w:val="000000" w:themeColor="text1"/>
          <w:lang w:val="da-DK"/>
        </w:rPr>
        <w:t>Investering i andre investerings­ foreninger og kapitalforeninger (fund of funds)</w:t>
      </w:r>
    </w:p>
    <w:p w:rsidR="00576E28" w:rsidRPr="00A808ED" w:rsidRDefault="00576E28" w:rsidP="00A808ED">
      <w:pPr>
        <w:pStyle w:val="Brdtekst"/>
        <w:spacing w:line="244" w:lineRule="auto"/>
        <w:rPr>
          <w:rFonts w:asciiTheme="minorHAnsi" w:hAnsiTheme="minorHAnsi"/>
          <w:color w:val="808080" w:themeColor="background1" w:themeShade="80"/>
          <w:lang w:val="da-DK"/>
        </w:rPr>
      </w:pPr>
      <w:r w:rsidRPr="00A808ED">
        <w:rPr>
          <w:rFonts w:asciiTheme="minorHAnsi" w:hAnsiTheme="minorHAnsi"/>
          <w:color w:val="808080" w:themeColor="background1" w:themeShade="80"/>
          <w:lang w:val="da-DK"/>
        </w:rPr>
        <w:t>Foreningens strategi er typisk at investere i andre investerings- og kapitalforeninger, og den investerer således ikke nødvendigvis direkte i værdipapirer. Herved opnås normalt en meget stor risikospredning med deraf følgende mulighed for at opnå en lavere samlet risiko.</w:t>
      </w:r>
    </w:p>
    <w:p w:rsidR="00576E28" w:rsidRPr="00A808ED" w:rsidRDefault="00576E28" w:rsidP="00A808ED">
      <w:pPr>
        <w:pStyle w:val="Brdtekst"/>
        <w:spacing w:line="244" w:lineRule="auto"/>
        <w:rPr>
          <w:rFonts w:asciiTheme="minorHAnsi" w:hAnsiTheme="minorHAnsi"/>
          <w:color w:val="808080" w:themeColor="background1" w:themeShade="80"/>
          <w:lang w:val="da-DK"/>
        </w:rPr>
      </w:pPr>
    </w:p>
    <w:p w:rsidR="00576E28" w:rsidRPr="00A808ED" w:rsidRDefault="00576E28" w:rsidP="00A808ED">
      <w:pPr>
        <w:pStyle w:val="Brdtekst"/>
        <w:spacing w:line="244" w:lineRule="auto"/>
        <w:rPr>
          <w:rFonts w:asciiTheme="minorHAnsi" w:hAnsiTheme="minorHAnsi"/>
          <w:i/>
          <w:lang w:val="da-DK"/>
        </w:rPr>
      </w:pPr>
      <w:r w:rsidRPr="00A808ED">
        <w:rPr>
          <w:rFonts w:asciiTheme="minorHAnsi" w:hAnsiTheme="minorHAnsi"/>
          <w:i/>
          <w:lang w:val="da-DK"/>
        </w:rPr>
        <w:t>Fokuseret investeringsstrategi</w:t>
      </w:r>
    </w:p>
    <w:p w:rsidR="00576E28" w:rsidRPr="00A808ED" w:rsidRDefault="00576E28" w:rsidP="00A808ED">
      <w:pPr>
        <w:pStyle w:val="Brdtekst"/>
        <w:spacing w:line="244" w:lineRule="auto"/>
        <w:rPr>
          <w:rFonts w:asciiTheme="minorHAnsi" w:hAnsiTheme="minorHAnsi"/>
          <w:color w:val="808080" w:themeColor="background1" w:themeShade="80"/>
          <w:lang w:val="da-DK"/>
        </w:rPr>
      </w:pPr>
      <w:r w:rsidRPr="00A808ED">
        <w:rPr>
          <w:rFonts w:asciiTheme="minorHAnsi" w:hAnsiTheme="minorHAnsi"/>
          <w:color w:val="808080" w:themeColor="background1" w:themeShade="80"/>
          <w:lang w:val="da-DK"/>
        </w:rPr>
        <w:t xml:space="preserve">Da kravet til risikospredning er mindre end   i </w:t>
      </w:r>
      <w:proofErr w:type="spellStart"/>
      <w:r w:rsidRPr="00A808ED">
        <w:rPr>
          <w:rFonts w:asciiTheme="minorHAnsi" w:hAnsiTheme="minorHAnsi"/>
          <w:color w:val="808080" w:themeColor="background1" w:themeShade="80"/>
          <w:lang w:val="da-DK"/>
        </w:rPr>
        <w:t>investeringsfore</w:t>
      </w:r>
      <w:r w:rsidR="00E85026">
        <w:rPr>
          <w:rFonts w:asciiTheme="minorHAnsi" w:hAnsiTheme="minorHAnsi"/>
          <w:color w:val="808080" w:themeColor="background1" w:themeShade="80"/>
          <w:lang w:val="da-DK"/>
        </w:rPr>
        <w:t>-</w:t>
      </w:r>
      <w:r w:rsidRPr="00A808ED">
        <w:rPr>
          <w:rFonts w:asciiTheme="minorHAnsi" w:hAnsiTheme="minorHAnsi"/>
          <w:color w:val="808080" w:themeColor="background1" w:themeShade="80"/>
          <w:lang w:val="da-DK"/>
        </w:rPr>
        <w:t>ninger</w:t>
      </w:r>
      <w:proofErr w:type="spellEnd"/>
      <w:r w:rsidRPr="00A808ED">
        <w:rPr>
          <w:rFonts w:asciiTheme="minorHAnsi" w:hAnsiTheme="minorHAnsi"/>
          <w:color w:val="808080" w:themeColor="background1" w:themeShade="80"/>
          <w:lang w:val="da-DK"/>
        </w:rPr>
        <w:t>, er kapitalforeninger velegnede til at udføre en fokuseret investeringsstrategi. Strategien kunne eksempelvis være at kon</w:t>
      </w:r>
      <w:r w:rsidR="00E85026">
        <w:rPr>
          <w:rFonts w:asciiTheme="minorHAnsi" w:hAnsiTheme="minorHAnsi"/>
          <w:color w:val="808080" w:themeColor="background1" w:themeShade="80"/>
          <w:lang w:val="da-DK"/>
        </w:rPr>
        <w:t>c</w:t>
      </w:r>
      <w:r w:rsidRPr="00A808ED">
        <w:rPr>
          <w:rFonts w:asciiTheme="minorHAnsi" w:hAnsiTheme="minorHAnsi"/>
          <w:color w:val="808080" w:themeColor="background1" w:themeShade="80"/>
          <w:lang w:val="da-DK"/>
        </w:rPr>
        <w:t>entrere investeringerne på ganske få værdipapirer. Investering i en afdeling med denne strategi kan være forbundet med en forhøjet risiko</w:t>
      </w:r>
    </w:p>
    <w:p w:rsidR="00576E28" w:rsidRPr="00A808ED" w:rsidRDefault="00576E28" w:rsidP="00A808ED">
      <w:pPr>
        <w:pStyle w:val="Brdtekst"/>
        <w:spacing w:line="244" w:lineRule="auto"/>
        <w:rPr>
          <w:rFonts w:asciiTheme="minorHAnsi" w:hAnsiTheme="minorHAnsi"/>
          <w:color w:val="808080" w:themeColor="background1" w:themeShade="80"/>
          <w:lang w:val="da-DK"/>
        </w:rPr>
      </w:pPr>
    </w:p>
    <w:p w:rsidR="00576E28" w:rsidRPr="00A808ED" w:rsidRDefault="00576E28" w:rsidP="00A808ED">
      <w:pPr>
        <w:pStyle w:val="Brdtekst"/>
        <w:spacing w:line="244" w:lineRule="auto"/>
        <w:rPr>
          <w:rFonts w:asciiTheme="minorHAnsi" w:hAnsiTheme="minorHAnsi"/>
          <w:i/>
          <w:lang w:val="da-DK"/>
        </w:rPr>
      </w:pPr>
      <w:r w:rsidRPr="00A808ED">
        <w:rPr>
          <w:rFonts w:asciiTheme="minorHAnsi" w:hAnsiTheme="minorHAnsi"/>
          <w:i/>
          <w:lang w:val="da-DK"/>
        </w:rPr>
        <w:t>Investering i pengemarkeds­ instrumenter</w:t>
      </w:r>
    </w:p>
    <w:p w:rsidR="00576E28" w:rsidRPr="00A808ED" w:rsidRDefault="00576E28" w:rsidP="00A808ED">
      <w:pPr>
        <w:pStyle w:val="Brdtekst"/>
        <w:spacing w:line="244" w:lineRule="auto"/>
        <w:rPr>
          <w:rFonts w:asciiTheme="minorHAnsi" w:hAnsiTheme="minorHAnsi"/>
          <w:color w:val="808080" w:themeColor="background1" w:themeShade="80"/>
          <w:lang w:val="da-DK"/>
        </w:rPr>
      </w:pPr>
      <w:r w:rsidRPr="00A808ED">
        <w:rPr>
          <w:rFonts w:asciiTheme="minorHAnsi" w:hAnsiTheme="minorHAnsi"/>
          <w:color w:val="808080" w:themeColor="background1" w:themeShade="80"/>
          <w:lang w:val="da-DK"/>
        </w:rPr>
        <w:t>Foreningens strategi er at investere i pengemarkedet via pengemarkeds</w:t>
      </w:r>
      <w:r w:rsidR="00E85026">
        <w:rPr>
          <w:rFonts w:asciiTheme="minorHAnsi" w:hAnsiTheme="minorHAnsi"/>
          <w:color w:val="808080" w:themeColor="background1" w:themeShade="80"/>
          <w:lang w:val="da-DK"/>
        </w:rPr>
        <w:t>-</w:t>
      </w:r>
      <w:r w:rsidRPr="00A808ED">
        <w:rPr>
          <w:rFonts w:asciiTheme="minorHAnsi" w:hAnsiTheme="minorHAnsi"/>
          <w:color w:val="808080" w:themeColor="background1" w:themeShade="80"/>
          <w:lang w:val="da-DK"/>
        </w:rPr>
        <w:t>instrumenter, som fx i indlåns</w:t>
      </w:r>
      <w:r w:rsidR="00E85026">
        <w:rPr>
          <w:rFonts w:asciiTheme="minorHAnsi" w:hAnsiTheme="minorHAnsi"/>
          <w:color w:val="808080" w:themeColor="background1" w:themeShade="80"/>
          <w:lang w:val="da-DK"/>
        </w:rPr>
        <w:t>-</w:t>
      </w:r>
      <w:r w:rsidRPr="00A808ED">
        <w:rPr>
          <w:rFonts w:asciiTheme="minorHAnsi" w:hAnsiTheme="minorHAnsi"/>
          <w:color w:val="808080" w:themeColor="background1" w:themeShade="80"/>
          <w:lang w:val="da-DK"/>
        </w:rPr>
        <w:t xml:space="preserve">beviser, indskudsbeviser og skatkammerbeviser, og i forbindelse med lån og placeringer på </w:t>
      </w:r>
      <w:proofErr w:type="spellStart"/>
      <w:r w:rsidRPr="00A808ED">
        <w:rPr>
          <w:rFonts w:asciiTheme="minorHAnsi" w:hAnsiTheme="minorHAnsi"/>
          <w:color w:val="808080" w:themeColor="background1" w:themeShade="80"/>
          <w:lang w:val="da-DK"/>
        </w:rPr>
        <w:t>interbank</w:t>
      </w:r>
      <w:proofErr w:type="spellEnd"/>
      <w:r w:rsidR="00E85026">
        <w:rPr>
          <w:rFonts w:asciiTheme="minorHAnsi" w:hAnsiTheme="minorHAnsi"/>
          <w:color w:val="808080" w:themeColor="background1" w:themeShade="80"/>
          <w:lang w:val="da-DK"/>
        </w:rPr>
        <w:t>-</w:t>
      </w:r>
      <w:r w:rsidRPr="00A808ED">
        <w:rPr>
          <w:rFonts w:asciiTheme="minorHAnsi" w:hAnsiTheme="minorHAnsi"/>
          <w:color w:val="808080" w:themeColor="background1" w:themeShade="80"/>
          <w:lang w:val="da-DK"/>
        </w:rPr>
        <w:t>markedet.</w:t>
      </w:r>
    </w:p>
    <w:p w:rsidR="00576E28" w:rsidRPr="00A808ED" w:rsidRDefault="00576E28" w:rsidP="00A808ED">
      <w:pPr>
        <w:pStyle w:val="Brdtekst"/>
        <w:spacing w:line="244" w:lineRule="auto"/>
        <w:rPr>
          <w:rFonts w:asciiTheme="minorHAnsi" w:hAnsiTheme="minorHAnsi"/>
          <w:color w:val="808080" w:themeColor="background1" w:themeShade="80"/>
          <w:lang w:val="da-DK"/>
        </w:rPr>
      </w:pPr>
    </w:p>
    <w:p w:rsidR="00576E28" w:rsidRPr="00A808ED" w:rsidRDefault="00576E28" w:rsidP="00A808ED">
      <w:pPr>
        <w:pStyle w:val="Overskrift1"/>
        <w:ind w:left="0"/>
        <w:rPr>
          <w:rFonts w:asciiTheme="minorHAnsi" w:hAnsiTheme="minorHAnsi"/>
          <w:color w:val="000000" w:themeColor="text1"/>
          <w:lang w:val="da-DK"/>
        </w:rPr>
      </w:pPr>
      <w:r w:rsidRPr="00A808ED">
        <w:rPr>
          <w:rFonts w:asciiTheme="minorHAnsi" w:hAnsiTheme="minorHAnsi"/>
          <w:color w:val="000000" w:themeColor="text1"/>
          <w:lang w:val="da-DK"/>
        </w:rPr>
        <w:t>Afkast</w:t>
      </w:r>
    </w:p>
    <w:p w:rsidR="00576E28" w:rsidRPr="00A808ED" w:rsidRDefault="00576E28" w:rsidP="00A808ED">
      <w:pPr>
        <w:pStyle w:val="Brdtekst"/>
        <w:spacing w:line="244" w:lineRule="auto"/>
        <w:rPr>
          <w:rFonts w:asciiTheme="minorHAnsi" w:hAnsiTheme="minorHAnsi"/>
          <w:color w:val="808080" w:themeColor="background1" w:themeShade="80"/>
          <w:lang w:val="da-DK"/>
        </w:rPr>
      </w:pPr>
      <w:r w:rsidRPr="00A808ED">
        <w:rPr>
          <w:rFonts w:asciiTheme="minorHAnsi" w:hAnsiTheme="minorHAnsi"/>
          <w:color w:val="808080" w:themeColor="background1" w:themeShade="80"/>
          <w:lang w:val="da-DK"/>
        </w:rPr>
        <w:t>Når du investerer i en kapital</w:t>
      </w:r>
      <w:r w:rsidR="00A808ED">
        <w:rPr>
          <w:rFonts w:asciiTheme="minorHAnsi" w:hAnsiTheme="minorHAnsi"/>
          <w:color w:val="808080" w:themeColor="background1" w:themeShade="80"/>
          <w:lang w:val="da-DK"/>
        </w:rPr>
        <w:t>-</w:t>
      </w:r>
      <w:r w:rsidRPr="00A808ED">
        <w:rPr>
          <w:rFonts w:asciiTheme="minorHAnsi" w:hAnsiTheme="minorHAnsi"/>
          <w:color w:val="808080" w:themeColor="background1" w:themeShade="80"/>
          <w:lang w:val="da-DK"/>
        </w:rPr>
        <w:t xml:space="preserve">forening, kan du regne med, at foreningen søger at opnå det højest mulige afkast, som kan realiseres inden for de investeringsrammer, </w:t>
      </w:r>
      <w:r w:rsidRPr="00A808ED">
        <w:rPr>
          <w:rFonts w:asciiTheme="minorHAnsi" w:hAnsiTheme="minorHAnsi"/>
          <w:color w:val="808080" w:themeColor="background1" w:themeShade="80"/>
          <w:lang w:val="da-DK"/>
        </w:rPr>
        <w:lastRenderedPageBreak/>
        <w:t xml:space="preserve">som foreningen er underlagt. En kapitalforening kan have valgt at måle sit afkast mod et </w:t>
      </w:r>
      <w:proofErr w:type="spellStart"/>
      <w:r w:rsidRPr="00A808ED">
        <w:rPr>
          <w:rFonts w:asciiTheme="minorHAnsi" w:hAnsiTheme="minorHAnsi"/>
          <w:color w:val="808080" w:themeColor="background1" w:themeShade="80"/>
          <w:lang w:val="da-DK"/>
        </w:rPr>
        <w:t>sammenlig</w:t>
      </w:r>
      <w:r w:rsidR="00A808ED">
        <w:rPr>
          <w:rFonts w:asciiTheme="minorHAnsi" w:hAnsiTheme="minorHAnsi"/>
          <w:color w:val="808080" w:themeColor="background1" w:themeShade="80"/>
          <w:lang w:val="da-DK"/>
        </w:rPr>
        <w:t>-</w:t>
      </w:r>
      <w:r w:rsidRPr="00A808ED">
        <w:rPr>
          <w:rFonts w:asciiTheme="minorHAnsi" w:hAnsiTheme="minorHAnsi"/>
          <w:color w:val="808080" w:themeColor="background1" w:themeShade="80"/>
          <w:lang w:val="da-DK"/>
        </w:rPr>
        <w:t>ningsgrundlag</w:t>
      </w:r>
      <w:proofErr w:type="spellEnd"/>
      <w:r w:rsidRPr="00A808ED">
        <w:rPr>
          <w:rFonts w:asciiTheme="minorHAnsi" w:hAnsiTheme="minorHAnsi"/>
          <w:color w:val="808080" w:themeColor="background1" w:themeShade="80"/>
          <w:lang w:val="da-DK"/>
        </w:rPr>
        <w:t xml:space="preserve"> (</w:t>
      </w:r>
      <w:proofErr w:type="spellStart"/>
      <w:r w:rsidRPr="00A808ED">
        <w:rPr>
          <w:rFonts w:asciiTheme="minorHAnsi" w:hAnsiTheme="minorHAnsi"/>
          <w:color w:val="808080" w:themeColor="background1" w:themeShade="80"/>
          <w:lang w:val="da-DK"/>
        </w:rPr>
        <w:t>benchmark</w:t>
      </w:r>
      <w:proofErr w:type="spellEnd"/>
      <w:r w:rsidRPr="00A808ED">
        <w:rPr>
          <w:rFonts w:asciiTheme="minorHAnsi" w:hAnsiTheme="minorHAnsi"/>
          <w:color w:val="808080" w:themeColor="background1" w:themeShade="80"/>
          <w:lang w:val="da-DK"/>
        </w:rPr>
        <w:t>) eller blot søge at opnå så højt et afkast som muligt (absolut afkast) uden noget sammenligningsgrundlag.</w:t>
      </w:r>
    </w:p>
    <w:p w:rsidR="00576E28" w:rsidRPr="00A808ED" w:rsidRDefault="00576E28" w:rsidP="00A808ED">
      <w:pPr>
        <w:pStyle w:val="Brdtekst"/>
        <w:spacing w:line="244" w:lineRule="auto"/>
        <w:rPr>
          <w:rFonts w:asciiTheme="minorHAnsi" w:hAnsiTheme="minorHAnsi"/>
          <w:color w:val="808080" w:themeColor="background1" w:themeShade="80"/>
          <w:lang w:val="da-DK"/>
        </w:rPr>
      </w:pPr>
    </w:p>
    <w:p w:rsidR="00A808ED" w:rsidRPr="00CB5FC1" w:rsidRDefault="00A808ED" w:rsidP="00A808ED">
      <w:pPr>
        <w:pStyle w:val="Overskrift1"/>
        <w:spacing w:before="91"/>
        <w:ind w:left="0"/>
        <w:rPr>
          <w:rFonts w:asciiTheme="minorHAnsi" w:hAnsiTheme="minorHAnsi"/>
          <w:color w:val="000000" w:themeColor="text1"/>
          <w:lang w:val="da-DK"/>
        </w:rPr>
      </w:pPr>
      <w:r w:rsidRPr="00CB5FC1">
        <w:rPr>
          <w:rFonts w:asciiTheme="minorHAnsi" w:hAnsiTheme="minorHAnsi"/>
          <w:color w:val="000000" w:themeColor="text1"/>
          <w:lang w:val="da-DK"/>
        </w:rPr>
        <w:t>Hvad er risikoen?</w:t>
      </w:r>
    </w:p>
    <w:p w:rsidR="00576E28" w:rsidRPr="00A808ED" w:rsidRDefault="00576E28" w:rsidP="00A808ED">
      <w:pPr>
        <w:pStyle w:val="Brdtekst"/>
        <w:spacing w:line="244" w:lineRule="auto"/>
        <w:rPr>
          <w:rFonts w:asciiTheme="minorHAnsi" w:hAnsiTheme="minorHAnsi"/>
          <w:color w:val="808080" w:themeColor="background1" w:themeShade="80"/>
          <w:lang w:val="da-DK"/>
        </w:rPr>
      </w:pPr>
      <w:r w:rsidRPr="00A808ED">
        <w:rPr>
          <w:rFonts w:asciiTheme="minorHAnsi" w:hAnsiTheme="minorHAnsi"/>
          <w:color w:val="808080" w:themeColor="background1" w:themeShade="80"/>
          <w:lang w:val="da-DK"/>
        </w:rPr>
        <w:t xml:space="preserve">Risikoen i en kapitalforening afhænger af, hvilken strategi den enkelte afdeling investerer efter. Der findes kapitalforeninger med såvel høj som lav risiko. Det er vigtigt, at du ikke investerer i en kapitalforening uden at foretage en vurdering af, at afdelingens </w:t>
      </w:r>
      <w:proofErr w:type="spellStart"/>
      <w:r w:rsidRPr="00A808ED">
        <w:rPr>
          <w:rFonts w:asciiTheme="minorHAnsi" w:hAnsiTheme="minorHAnsi"/>
          <w:color w:val="808080" w:themeColor="background1" w:themeShade="80"/>
          <w:lang w:val="da-DK"/>
        </w:rPr>
        <w:t>investe</w:t>
      </w:r>
      <w:r w:rsidR="00E85026">
        <w:rPr>
          <w:rFonts w:asciiTheme="minorHAnsi" w:hAnsiTheme="minorHAnsi"/>
          <w:color w:val="808080" w:themeColor="background1" w:themeShade="80"/>
          <w:lang w:val="da-DK"/>
        </w:rPr>
        <w:t>-</w:t>
      </w:r>
      <w:r w:rsidRPr="00A808ED">
        <w:rPr>
          <w:rFonts w:asciiTheme="minorHAnsi" w:hAnsiTheme="minorHAnsi"/>
          <w:color w:val="808080" w:themeColor="background1" w:themeShade="80"/>
          <w:lang w:val="da-DK"/>
        </w:rPr>
        <w:t>rings</w:t>
      </w:r>
      <w:r w:rsidR="00E85026">
        <w:rPr>
          <w:rFonts w:asciiTheme="minorHAnsi" w:hAnsiTheme="minorHAnsi"/>
          <w:color w:val="808080" w:themeColor="background1" w:themeShade="80"/>
          <w:lang w:val="da-DK"/>
        </w:rPr>
        <w:t>s</w:t>
      </w:r>
      <w:r w:rsidRPr="00A808ED">
        <w:rPr>
          <w:rFonts w:asciiTheme="minorHAnsi" w:hAnsiTheme="minorHAnsi"/>
          <w:color w:val="808080" w:themeColor="background1" w:themeShade="80"/>
          <w:lang w:val="da-DK"/>
        </w:rPr>
        <w:t>trategi</w:t>
      </w:r>
      <w:proofErr w:type="spellEnd"/>
      <w:r w:rsidRPr="00A808ED">
        <w:rPr>
          <w:rFonts w:asciiTheme="minorHAnsi" w:hAnsiTheme="minorHAnsi"/>
          <w:color w:val="808080" w:themeColor="background1" w:themeShade="80"/>
          <w:lang w:val="da-DK"/>
        </w:rPr>
        <w:t xml:space="preserve"> matcher din r</w:t>
      </w:r>
      <w:r w:rsidR="00E85026">
        <w:rPr>
          <w:rFonts w:asciiTheme="minorHAnsi" w:hAnsiTheme="minorHAnsi"/>
          <w:color w:val="808080" w:themeColor="background1" w:themeShade="80"/>
          <w:lang w:val="da-DK"/>
        </w:rPr>
        <w:t>i</w:t>
      </w:r>
      <w:r w:rsidRPr="00A808ED">
        <w:rPr>
          <w:rFonts w:asciiTheme="minorHAnsi" w:hAnsiTheme="minorHAnsi"/>
          <w:color w:val="808080" w:themeColor="background1" w:themeShade="80"/>
          <w:lang w:val="da-DK"/>
        </w:rPr>
        <w:t>siko</w:t>
      </w:r>
      <w:r w:rsidR="00E85026">
        <w:rPr>
          <w:rFonts w:asciiTheme="minorHAnsi" w:hAnsiTheme="minorHAnsi"/>
          <w:color w:val="808080" w:themeColor="background1" w:themeShade="80"/>
          <w:lang w:val="da-DK"/>
        </w:rPr>
        <w:t>-</w:t>
      </w:r>
      <w:r w:rsidRPr="00A808ED">
        <w:rPr>
          <w:rFonts w:asciiTheme="minorHAnsi" w:hAnsiTheme="minorHAnsi"/>
          <w:color w:val="808080" w:themeColor="background1" w:themeShade="80"/>
          <w:lang w:val="da-DK"/>
        </w:rPr>
        <w:t>profil. Når du investerer i en kapitalforening, må du acceptere, at der er risiko for, at du kan tabe din investering helt eller delvist. Du kan dog aldrig miste mere end din investering. De risici, foreningen løber, kan være af flere forskellige typer. Fx kan en afdeling blive udsat for markedsrisiko, likviditetsrisiko, renterisiko, valutakursrisiko, kreditrisiko, modpartsrisiko, rådgiverrisiko og politiske risici.</w:t>
      </w:r>
    </w:p>
    <w:p w:rsidR="00E85026" w:rsidRDefault="00E85026" w:rsidP="00A808ED">
      <w:pPr>
        <w:pStyle w:val="Brdtekst"/>
        <w:spacing w:line="244" w:lineRule="auto"/>
        <w:rPr>
          <w:rFonts w:asciiTheme="minorHAnsi" w:hAnsiTheme="minorHAnsi"/>
          <w:color w:val="808080" w:themeColor="background1" w:themeShade="80"/>
          <w:lang w:val="da-DK"/>
        </w:rPr>
      </w:pPr>
    </w:p>
    <w:p w:rsidR="00576E28" w:rsidRDefault="00576E28" w:rsidP="00A808ED">
      <w:pPr>
        <w:pStyle w:val="Brdtekst"/>
        <w:spacing w:line="244" w:lineRule="auto"/>
        <w:rPr>
          <w:rFonts w:asciiTheme="minorHAnsi" w:hAnsiTheme="minorHAnsi"/>
          <w:color w:val="808080" w:themeColor="background1" w:themeShade="80"/>
          <w:lang w:val="da-DK"/>
        </w:rPr>
      </w:pPr>
      <w:r w:rsidRPr="00A808ED">
        <w:rPr>
          <w:rFonts w:asciiTheme="minorHAnsi" w:hAnsiTheme="minorHAnsi"/>
          <w:color w:val="808080" w:themeColor="background1" w:themeShade="80"/>
          <w:lang w:val="da-DK"/>
        </w:rPr>
        <w:t xml:space="preserve">Afkast og risiko følges normalt ad. Ved investering med lav risiko må der således forventes et mere beskedent langsigtet afkast, end hvis </w:t>
      </w:r>
      <w:r w:rsidRPr="00A808ED">
        <w:rPr>
          <w:rFonts w:asciiTheme="minorHAnsi" w:hAnsiTheme="minorHAnsi"/>
          <w:color w:val="808080" w:themeColor="background1" w:themeShade="80"/>
          <w:lang w:val="da-DK"/>
        </w:rPr>
        <w:t xml:space="preserve">der investeres ved høj risiko. Investeringens afkast- og risikoforhold afhænger af, hvilke underliggende papirer den enkelte afdeling investerer i. Se afsnit om Prospekt og væsentlig </w:t>
      </w:r>
      <w:proofErr w:type="spellStart"/>
      <w:r w:rsidRPr="00A808ED">
        <w:rPr>
          <w:rFonts w:asciiTheme="minorHAnsi" w:hAnsiTheme="minorHAnsi"/>
          <w:color w:val="808080" w:themeColor="background1" w:themeShade="80"/>
          <w:lang w:val="da-DK"/>
        </w:rPr>
        <w:t>investorinfor</w:t>
      </w:r>
      <w:proofErr w:type="spellEnd"/>
      <w:r w:rsidRPr="00A808ED">
        <w:rPr>
          <w:rFonts w:asciiTheme="minorHAnsi" w:hAnsiTheme="minorHAnsi"/>
          <w:color w:val="808080" w:themeColor="background1" w:themeShade="80"/>
          <w:lang w:val="da-DK"/>
        </w:rPr>
        <w:t xml:space="preserve">- </w:t>
      </w:r>
      <w:proofErr w:type="spellStart"/>
      <w:r w:rsidRPr="00A808ED">
        <w:rPr>
          <w:rFonts w:asciiTheme="minorHAnsi" w:hAnsiTheme="minorHAnsi"/>
          <w:color w:val="808080" w:themeColor="background1" w:themeShade="80"/>
          <w:lang w:val="da-DK"/>
        </w:rPr>
        <w:t>mation</w:t>
      </w:r>
      <w:proofErr w:type="spellEnd"/>
      <w:r w:rsidRPr="00A808ED">
        <w:rPr>
          <w:rFonts w:asciiTheme="minorHAnsi" w:hAnsiTheme="minorHAnsi"/>
          <w:color w:val="808080" w:themeColor="background1" w:themeShade="80"/>
          <w:lang w:val="da-DK"/>
        </w:rPr>
        <w:t>.</w:t>
      </w:r>
    </w:p>
    <w:p w:rsidR="00A808ED" w:rsidRPr="00A808ED" w:rsidRDefault="00A808ED" w:rsidP="00A808ED">
      <w:pPr>
        <w:pStyle w:val="Brdtekst"/>
        <w:spacing w:line="244" w:lineRule="auto"/>
        <w:rPr>
          <w:rFonts w:asciiTheme="minorHAnsi" w:hAnsiTheme="minorHAnsi"/>
          <w:color w:val="808080" w:themeColor="background1" w:themeShade="80"/>
          <w:lang w:val="da-DK"/>
        </w:rPr>
      </w:pPr>
    </w:p>
    <w:p w:rsidR="00576E28" w:rsidRPr="00D171D2" w:rsidRDefault="00576E28" w:rsidP="00576E28">
      <w:pPr>
        <w:pStyle w:val="Overskrift1"/>
        <w:spacing w:before="91"/>
        <w:ind w:left="0"/>
        <w:rPr>
          <w:rFonts w:asciiTheme="minorHAnsi" w:hAnsiTheme="minorHAnsi"/>
          <w:color w:val="000000" w:themeColor="text1"/>
          <w:lang w:val="da-DK"/>
        </w:rPr>
      </w:pPr>
      <w:r w:rsidRPr="00D171D2">
        <w:rPr>
          <w:rFonts w:asciiTheme="minorHAnsi" w:hAnsiTheme="minorHAnsi"/>
          <w:color w:val="000000" w:themeColor="text1"/>
          <w:lang w:val="da-DK"/>
        </w:rPr>
        <w:t xml:space="preserve">Omkostninger </w:t>
      </w:r>
    </w:p>
    <w:p w:rsidR="00576E28" w:rsidRPr="00D171D2" w:rsidRDefault="00576E28" w:rsidP="00576E28">
      <w:pPr>
        <w:pStyle w:val="Brdtekst"/>
        <w:spacing w:line="244" w:lineRule="auto"/>
        <w:rPr>
          <w:rFonts w:asciiTheme="minorHAnsi" w:hAnsiTheme="minorHAnsi"/>
          <w:color w:val="808080" w:themeColor="background1" w:themeShade="80"/>
          <w:lang w:val="da-DK"/>
        </w:rPr>
      </w:pPr>
      <w:r w:rsidRPr="00D171D2">
        <w:rPr>
          <w:rFonts w:asciiTheme="minorHAnsi" w:hAnsiTheme="minorHAnsi"/>
          <w:color w:val="808080" w:themeColor="background1" w:themeShade="80"/>
          <w:lang w:val="da-DK"/>
        </w:rPr>
        <w:t xml:space="preserve">Der er omkostninger forbundet med at investere i en kapitalforening. Omkostningerne vises ofte i nøgletallet 'Årlige omkostninger i procent' (ÅOP). ÅOP dækker over administrationsomkostninger inklusive kapitalforeningens handelsomkostninger, investors handelsomkostninger i form af maksimale emissionstillæg og indløsnings- fradrag og eventuelt de såkaldte performance </w:t>
      </w:r>
      <w:proofErr w:type="spellStart"/>
      <w:r w:rsidRPr="00D171D2">
        <w:rPr>
          <w:rFonts w:asciiTheme="minorHAnsi" w:hAnsiTheme="minorHAnsi"/>
          <w:color w:val="808080" w:themeColor="background1" w:themeShade="80"/>
          <w:lang w:val="da-DK"/>
        </w:rPr>
        <w:t>fees</w:t>
      </w:r>
      <w:proofErr w:type="spellEnd"/>
      <w:r w:rsidRPr="00D171D2">
        <w:rPr>
          <w:rFonts w:asciiTheme="minorHAnsi" w:hAnsiTheme="minorHAnsi"/>
          <w:color w:val="808080" w:themeColor="background1" w:themeShade="80"/>
          <w:lang w:val="da-DK"/>
        </w:rPr>
        <w:t>. Investors gennemsnitlige tidshorisont er sat til syv år. Du bør sætte dig grundigt ind i den pågældende kapitalforenings omkostningsstruktur, før du investerer.</w:t>
      </w:r>
    </w:p>
    <w:p w:rsidR="00CB5FC1" w:rsidRPr="00CB5FC1" w:rsidRDefault="00CB5FC1" w:rsidP="00CB5FC1">
      <w:pPr>
        <w:pStyle w:val="Overskrift1"/>
        <w:spacing w:before="91"/>
        <w:ind w:left="0"/>
        <w:rPr>
          <w:rFonts w:asciiTheme="minorHAnsi" w:hAnsiTheme="minorHAnsi"/>
          <w:color w:val="000000" w:themeColor="text1"/>
          <w:lang w:val="da-DK"/>
        </w:rPr>
      </w:pPr>
      <w:r w:rsidRPr="00CB5FC1">
        <w:rPr>
          <w:rFonts w:asciiTheme="minorHAnsi" w:hAnsiTheme="minorHAnsi"/>
          <w:color w:val="000000" w:themeColor="text1"/>
          <w:lang w:val="da-DK"/>
        </w:rPr>
        <w:t>Skat</w:t>
      </w:r>
    </w:p>
    <w:p w:rsidR="00CB5FC1" w:rsidRPr="00CB5FC1" w:rsidRDefault="00CB5FC1" w:rsidP="00CB5FC1">
      <w:pPr>
        <w:pStyle w:val="Brdtekst"/>
        <w:spacing w:line="244" w:lineRule="auto"/>
        <w:rPr>
          <w:rFonts w:asciiTheme="minorHAnsi" w:hAnsiTheme="minorHAnsi"/>
          <w:color w:val="808080" w:themeColor="background1" w:themeShade="80"/>
          <w:lang w:val="da-DK"/>
        </w:rPr>
      </w:pPr>
      <w:r w:rsidRPr="00CB5FC1">
        <w:rPr>
          <w:rFonts w:asciiTheme="minorHAnsi" w:hAnsiTheme="minorHAnsi"/>
          <w:color w:val="808080" w:themeColor="background1" w:themeShade="80"/>
          <w:lang w:val="da-DK"/>
        </w:rPr>
        <w:t>Den skattem</w:t>
      </w:r>
      <w:r w:rsidRPr="00CB5FC1">
        <w:rPr>
          <w:rFonts w:asciiTheme="minorHAnsi" w:hAnsiTheme="minorHAnsi" w:hint="cs"/>
          <w:color w:val="808080" w:themeColor="background1" w:themeShade="80"/>
          <w:lang w:val="da-DK"/>
        </w:rPr>
        <w:t>æ</w:t>
      </w:r>
      <w:r w:rsidRPr="00CB5FC1">
        <w:rPr>
          <w:rFonts w:asciiTheme="minorHAnsi" w:hAnsiTheme="minorHAnsi"/>
          <w:color w:val="808080" w:themeColor="background1" w:themeShade="80"/>
          <w:lang w:val="da-DK"/>
        </w:rPr>
        <w:t>ssige behandling af afkast fra obligationer er forskellig, alt</w:t>
      </w:r>
      <w:r w:rsidR="00026373">
        <w:rPr>
          <w:rFonts w:asciiTheme="minorHAnsi" w:hAnsiTheme="minorHAnsi"/>
          <w:color w:val="808080" w:themeColor="background1" w:themeShade="80"/>
          <w:lang w:val="da-DK"/>
        </w:rPr>
        <w:t xml:space="preserve"> </w:t>
      </w:r>
      <w:r w:rsidRPr="00CB5FC1">
        <w:rPr>
          <w:rFonts w:asciiTheme="minorHAnsi" w:hAnsiTheme="minorHAnsi"/>
          <w:color w:val="808080" w:themeColor="background1" w:themeShade="80"/>
          <w:lang w:val="da-DK"/>
        </w:rPr>
        <w:t>efter hvilken type midler du anvender til investering. Der er med andre ord forskel p</w:t>
      </w:r>
      <w:r w:rsidRPr="00CB5FC1">
        <w:rPr>
          <w:rFonts w:asciiTheme="minorHAnsi" w:hAnsiTheme="minorHAnsi" w:hint="cs"/>
          <w:color w:val="808080" w:themeColor="background1" w:themeShade="80"/>
          <w:lang w:val="da-DK"/>
        </w:rPr>
        <w:t>å</w:t>
      </w:r>
      <w:r w:rsidRPr="00CB5FC1">
        <w:rPr>
          <w:rFonts w:asciiTheme="minorHAnsi" w:hAnsiTheme="minorHAnsi"/>
          <w:color w:val="808080" w:themeColor="background1" w:themeShade="80"/>
          <w:lang w:val="da-DK"/>
        </w:rPr>
        <w:t xml:space="preserve"> beskatningen af obligationsafkast, som stammer fra investering af henholdsvis frie </w:t>
      </w:r>
      <w:r w:rsidRPr="00CB5FC1">
        <w:rPr>
          <w:rFonts w:asciiTheme="minorHAnsi" w:hAnsiTheme="minorHAnsi"/>
          <w:color w:val="808080" w:themeColor="background1" w:themeShade="80"/>
          <w:lang w:val="da-DK"/>
        </w:rPr>
        <w:t>midler, pensionsopsparing, b</w:t>
      </w:r>
      <w:r w:rsidRPr="00CB5FC1">
        <w:rPr>
          <w:rFonts w:asciiTheme="minorHAnsi" w:hAnsiTheme="minorHAnsi" w:hint="cs"/>
          <w:color w:val="808080" w:themeColor="background1" w:themeShade="80"/>
          <w:lang w:val="da-DK"/>
        </w:rPr>
        <w:t>ø</w:t>
      </w:r>
      <w:r w:rsidRPr="00CB5FC1">
        <w:rPr>
          <w:rFonts w:asciiTheme="minorHAnsi" w:hAnsiTheme="minorHAnsi"/>
          <w:color w:val="808080" w:themeColor="background1" w:themeShade="80"/>
          <w:lang w:val="da-DK"/>
        </w:rPr>
        <w:t>rneopsparing, selskabsmidler eller midler i virksomhedsordningen.</w:t>
      </w:r>
    </w:p>
    <w:p w:rsidR="00CB5FC1" w:rsidRPr="00CB5FC1" w:rsidRDefault="00CB5FC1" w:rsidP="00CB5FC1">
      <w:pPr>
        <w:pStyle w:val="Brdtekst"/>
        <w:spacing w:line="244" w:lineRule="auto"/>
        <w:rPr>
          <w:rFonts w:asciiTheme="minorHAnsi" w:hAnsiTheme="minorHAnsi"/>
          <w:color w:val="808080" w:themeColor="background1" w:themeShade="80"/>
          <w:lang w:val="da-DK"/>
        </w:rPr>
      </w:pPr>
    </w:p>
    <w:p w:rsidR="00CB5FC1" w:rsidRDefault="00CB5FC1" w:rsidP="00CB5FC1">
      <w:pPr>
        <w:pStyle w:val="Brdtekst"/>
        <w:spacing w:line="244" w:lineRule="auto"/>
        <w:rPr>
          <w:rFonts w:asciiTheme="minorHAnsi" w:hAnsiTheme="minorHAnsi"/>
          <w:color w:val="808080" w:themeColor="background1" w:themeShade="80"/>
          <w:lang w:val="da-DK"/>
        </w:rPr>
      </w:pPr>
      <w:r w:rsidRPr="00CB5FC1">
        <w:rPr>
          <w:rFonts w:asciiTheme="minorHAnsi" w:hAnsiTheme="minorHAnsi"/>
          <w:color w:val="808080" w:themeColor="background1" w:themeShade="80"/>
          <w:lang w:val="da-DK"/>
        </w:rPr>
        <w:t>Den skattemæssige behandling kan variere og ændre sig afhængig af dine skattemæssige forhold, eller som følge af ændrede regler for beskatning. Vi anbefaler, at du kontakter en rådgiver om skattemæssige konsekvenser af en investering.</w:t>
      </w:r>
    </w:p>
    <w:p w:rsidR="00576E28" w:rsidRPr="00CB5FC1" w:rsidRDefault="00576E28" w:rsidP="00CB5FC1">
      <w:pPr>
        <w:pStyle w:val="Brdtekst"/>
        <w:spacing w:line="244" w:lineRule="auto"/>
        <w:rPr>
          <w:rFonts w:asciiTheme="minorHAnsi" w:hAnsiTheme="minorHAnsi"/>
          <w:color w:val="808080" w:themeColor="background1" w:themeShade="80"/>
          <w:lang w:val="da-DK"/>
        </w:rPr>
      </w:pPr>
    </w:p>
    <w:p w:rsidR="00D171D2" w:rsidRPr="00D171D2" w:rsidRDefault="00D171D2" w:rsidP="00D171D2">
      <w:pPr>
        <w:pStyle w:val="Overskrift1"/>
        <w:ind w:left="0"/>
        <w:rPr>
          <w:rFonts w:asciiTheme="minorHAnsi" w:hAnsiTheme="minorHAnsi"/>
          <w:color w:val="000000" w:themeColor="text1"/>
          <w:lang w:val="da-DK"/>
        </w:rPr>
      </w:pPr>
      <w:r w:rsidRPr="00D171D2">
        <w:rPr>
          <w:rFonts w:asciiTheme="minorHAnsi" w:hAnsiTheme="minorHAnsi"/>
          <w:color w:val="000000" w:themeColor="text1"/>
          <w:lang w:val="da-DK"/>
        </w:rPr>
        <w:t>Prospekt og</w:t>
      </w:r>
    </w:p>
    <w:p w:rsidR="00D171D2" w:rsidRPr="00D171D2" w:rsidRDefault="00D171D2" w:rsidP="00D171D2">
      <w:pPr>
        <w:pStyle w:val="Overskrift1"/>
        <w:ind w:left="0"/>
        <w:rPr>
          <w:rFonts w:asciiTheme="minorHAnsi" w:hAnsiTheme="minorHAnsi"/>
          <w:color w:val="000000" w:themeColor="text1"/>
          <w:lang w:val="da-DK"/>
        </w:rPr>
      </w:pPr>
      <w:r w:rsidRPr="00D171D2">
        <w:rPr>
          <w:rFonts w:asciiTheme="minorHAnsi" w:hAnsiTheme="minorHAnsi"/>
          <w:color w:val="000000" w:themeColor="text1"/>
          <w:lang w:val="da-DK"/>
        </w:rPr>
        <w:t>Væsentlig investorinformation</w:t>
      </w:r>
    </w:p>
    <w:p w:rsidR="00D171D2" w:rsidRPr="00D171D2" w:rsidRDefault="00D171D2" w:rsidP="00D171D2">
      <w:pPr>
        <w:pStyle w:val="Brdtekst"/>
        <w:spacing w:line="244" w:lineRule="auto"/>
        <w:rPr>
          <w:rFonts w:asciiTheme="minorHAnsi" w:hAnsiTheme="minorHAnsi"/>
          <w:color w:val="808080" w:themeColor="background1" w:themeShade="80"/>
          <w:lang w:val="da-DK"/>
        </w:rPr>
      </w:pPr>
      <w:r w:rsidRPr="00D171D2">
        <w:rPr>
          <w:rFonts w:asciiTheme="minorHAnsi" w:hAnsiTheme="minorHAnsi"/>
          <w:color w:val="808080" w:themeColor="background1" w:themeShade="80"/>
          <w:lang w:val="da-DK"/>
        </w:rPr>
        <w:t>Kapitalforeninger, der markedsføres til kunder, skal udarbejde et dokument med væsentlig investorinformation, der giver et godt overblik</w:t>
      </w:r>
    </w:p>
    <w:p w:rsidR="00D171D2" w:rsidRPr="00D171D2" w:rsidRDefault="00D171D2" w:rsidP="00D171D2">
      <w:pPr>
        <w:pStyle w:val="Brdtekst"/>
        <w:spacing w:line="244" w:lineRule="auto"/>
        <w:rPr>
          <w:rFonts w:asciiTheme="minorHAnsi" w:hAnsiTheme="minorHAnsi"/>
          <w:color w:val="808080" w:themeColor="background1" w:themeShade="80"/>
          <w:lang w:val="da-DK"/>
        </w:rPr>
      </w:pPr>
      <w:r w:rsidRPr="00D171D2">
        <w:rPr>
          <w:rFonts w:asciiTheme="minorHAnsi" w:hAnsiTheme="minorHAnsi"/>
          <w:color w:val="808080" w:themeColor="background1" w:themeShade="80"/>
          <w:lang w:val="da-DK"/>
        </w:rPr>
        <w:t xml:space="preserve">over </w:t>
      </w:r>
      <w:proofErr w:type="spellStart"/>
      <w:r w:rsidRPr="00D171D2">
        <w:rPr>
          <w:rFonts w:asciiTheme="minorHAnsi" w:hAnsiTheme="minorHAnsi"/>
          <w:color w:val="808080" w:themeColor="background1" w:themeShade="80"/>
          <w:lang w:val="da-DK"/>
        </w:rPr>
        <w:t>AIF’ens</w:t>
      </w:r>
      <w:proofErr w:type="spellEnd"/>
      <w:r w:rsidRPr="00D171D2">
        <w:rPr>
          <w:rFonts w:asciiTheme="minorHAnsi" w:hAnsiTheme="minorHAnsi"/>
          <w:color w:val="808080" w:themeColor="background1" w:themeShade="80"/>
          <w:lang w:val="da-DK"/>
        </w:rPr>
        <w:t xml:space="preserve"> væsentlige egenskaber. Den enkelte AIF vil normalt også udarbejde et prospekt med en detaljeret beskrivelse af </w:t>
      </w:r>
      <w:proofErr w:type="spellStart"/>
      <w:r w:rsidRPr="00D171D2">
        <w:rPr>
          <w:rFonts w:asciiTheme="minorHAnsi" w:hAnsiTheme="minorHAnsi"/>
          <w:color w:val="808080" w:themeColor="background1" w:themeShade="80"/>
          <w:lang w:val="da-DK"/>
        </w:rPr>
        <w:t>AIF’en</w:t>
      </w:r>
      <w:proofErr w:type="spellEnd"/>
      <w:r w:rsidRPr="00D171D2">
        <w:rPr>
          <w:rFonts w:asciiTheme="minorHAnsi" w:hAnsiTheme="minorHAnsi"/>
          <w:color w:val="808080" w:themeColor="background1" w:themeShade="80"/>
          <w:lang w:val="da-DK"/>
        </w:rPr>
        <w:t>. I disse dokumenter kan du læse detaljeret om investeringsstrategien og om, hvor store risici kapitalforeningen må tage. Det er vigtigt, at du som investor sætter dig grundigt ind i dette materiale, før du beslutter dig for at investere.</w:t>
      </w:r>
    </w:p>
    <w:p w:rsidR="005B54B8" w:rsidRPr="00971A87" w:rsidRDefault="005B54B8" w:rsidP="00971A87">
      <w:pPr>
        <w:pStyle w:val="Brdtekst"/>
        <w:spacing w:before="11"/>
        <w:rPr>
          <w:rFonts w:asciiTheme="minorHAnsi" w:hAnsiTheme="minorHAnsi"/>
          <w:color w:val="808080" w:themeColor="background1" w:themeShade="80"/>
          <w:lang w:val="da-DK"/>
        </w:rPr>
      </w:pPr>
    </w:p>
    <w:p w:rsidR="004B28D5" w:rsidRPr="00971A87" w:rsidRDefault="004B28D5" w:rsidP="004B28D5">
      <w:pPr>
        <w:spacing w:after="0" w:line="240" w:lineRule="auto"/>
        <w:rPr>
          <w:color w:val="808080" w:themeColor="background1" w:themeShade="80"/>
        </w:rPr>
      </w:pPr>
    </w:p>
    <w:p w:rsidR="004B28D5" w:rsidRPr="00971A87" w:rsidRDefault="004B28D5" w:rsidP="004B28D5">
      <w:pPr>
        <w:spacing w:after="0" w:line="240" w:lineRule="auto"/>
        <w:rPr>
          <w:color w:val="808080" w:themeColor="background1" w:themeShade="80"/>
        </w:rPr>
      </w:pPr>
    </w:p>
    <w:p w:rsidR="004B28D5" w:rsidRPr="00971A87" w:rsidRDefault="004B28D5" w:rsidP="004B28D5">
      <w:pPr>
        <w:spacing w:after="0" w:line="240" w:lineRule="auto"/>
        <w:rPr>
          <w:color w:val="808080" w:themeColor="background1" w:themeShade="80"/>
        </w:rPr>
        <w:sectPr w:rsidR="004B28D5" w:rsidRPr="00971A87" w:rsidSect="005B54B8">
          <w:type w:val="continuous"/>
          <w:pgSz w:w="11906" w:h="16838"/>
          <w:pgMar w:top="1701" w:right="1134" w:bottom="1701" w:left="1134" w:header="708" w:footer="708" w:gutter="0"/>
          <w:cols w:num="3" w:space="708"/>
          <w:docGrid w:linePitch="360"/>
        </w:sectPr>
      </w:pPr>
    </w:p>
    <w:p w:rsidR="003A2BD3" w:rsidRDefault="003A2BD3" w:rsidP="004B28D5">
      <w:pPr>
        <w:spacing w:after="0" w:line="240" w:lineRule="auto"/>
        <w:rPr>
          <w:color w:val="808080" w:themeColor="background1" w:themeShade="80"/>
        </w:rPr>
      </w:pPr>
    </w:p>
    <w:p w:rsidR="00480C44" w:rsidRDefault="00480C44" w:rsidP="004B28D5">
      <w:pPr>
        <w:spacing w:after="0" w:line="240" w:lineRule="auto"/>
        <w:rPr>
          <w:color w:val="808080" w:themeColor="background1" w:themeShade="80"/>
        </w:rPr>
      </w:pPr>
    </w:p>
    <w:p w:rsidR="00480C44" w:rsidRDefault="00480C44" w:rsidP="004B28D5">
      <w:pPr>
        <w:spacing w:after="0" w:line="240" w:lineRule="auto"/>
        <w:rPr>
          <w:color w:val="808080" w:themeColor="background1" w:themeShade="80"/>
        </w:rPr>
      </w:pPr>
    </w:p>
    <w:p w:rsidR="00480C44" w:rsidRPr="00971A87" w:rsidRDefault="00CF7472" w:rsidP="004B28D5">
      <w:pPr>
        <w:spacing w:after="0" w:line="240" w:lineRule="auto"/>
        <w:rPr>
          <w:color w:val="808080" w:themeColor="background1" w:themeShade="80"/>
        </w:rPr>
      </w:pPr>
      <w:bookmarkStart w:id="0" w:name="_GoBack"/>
      <w:bookmarkEnd w:id="0"/>
      <w:r>
        <w:rPr>
          <w:noProof/>
        </w:rPr>
        <mc:AlternateContent>
          <mc:Choice Requires="wpg">
            <w:drawing>
              <wp:anchor distT="0" distB="0" distL="114300" distR="114300" simplePos="0" relativeHeight="251663360" behindDoc="0" locked="0" layoutInCell="1" allowOverlap="1" wp14:anchorId="236E5A48" wp14:editId="5B8A424A">
                <wp:simplePos x="0" y="0"/>
                <wp:positionH relativeFrom="margin">
                  <wp:align>left</wp:align>
                </wp:positionH>
                <wp:positionV relativeFrom="paragraph">
                  <wp:posOffset>2595916</wp:posOffset>
                </wp:positionV>
                <wp:extent cx="5562738" cy="803188"/>
                <wp:effectExtent l="0" t="0" r="0" b="16510"/>
                <wp:wrapNone/>
                <wp:docPr id="18" name="Gruppe 18"/>
                <wp:cNvGraphicFramePr/>
                <a:graphic xmlns:a="http://schemas.openxmlformats.org/drawingml/2006/main">
                  <a:graphicData uri="http://schemas.microsoft.com/office/word/2010/wordprocessingGroup">
                    <wpg:wgp>
                      <wpg:cNvGrpSpPr/>
                      <wpg:grpSpPr>
                        <a:xfrm>
                          <a:off x="0" y="0"/>
                          <a:ext cx="5562738" cy="803188"/>
                          <a:chOff x="0" y="83008"/>
                          <a:chExt cx="5563395" cy="805618"/>
                        </a:xfrm>
                      </wpg:grpSpPr>
                      <wpg:grpSp>
                        <wpg:cNvPr id="19" name="Group 2"/>
                        <wpg:cNvGrpSpPr>
                          <a:grpSpLocks/>
                        </wpg:cNvGrpSpPr>
                        <wpg:grpSpPr bwMode="auto">
                          <a:xfrm>
                            <a:off x="0" y="83008"/>
                            <a:ext cx="933510" cy="805618"/>
                            <a:chOff x="744" y="209"/>
                            <a:chExt cx="875" cy="922"/>
                          </a:xfrm>
                        </wpg:grpSpPr>
                        <wps:wsp>
                          <wps:cNvPr id="20" name="Rectangle 6"/>
                          <wps:cNvSpPr>
                            <a:spLocks noChangeArrowheads="1"/>
                          </wps:cNvSpPr>
                          <wps:spPr bwMode="auto">
                            <a:xfrm>
                              <a:off x="744" y="665"/>
                              <a:ext cx="875" cy="388"/>
                            </a:xfrm>
                            <a:prstGeom prst="rect">
                              <a:avLst/>
                            </a:prstGeom>
                            <a:solidFill>
                              <a:srgbClr val="EEC6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 name="Rectangle 5"/>
                          <wps:cNvSpPr>
                            <a:spLocks noChangeArrowheads="1"/>
                          </wps:cNvSpPr>
                          <wps:spPr bwMode="auto">
                            <a:xfrm>
                              <a:off x="744" y="209"/>
                              <a:ext cx="875" cy="455"/>
                            </a:xfrm>
                            <a:prstGeom prst="rect">
                              <a:avLst/>
                            </a:prstGeom>
                            <a:solidFill>
                              <a:srgbClr val="EEC6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 name="Text Box 4"/>
                          <wps:cNvSpPr txBox="1">
                            <a:spLocks noChangeArrowheads="1"/>
                          </wps:cNvSpPr>
                          <wps:spPr bwMode="auto">
                            <a:xfrm>
                              <a:off x="831" y="247"/>
                              <a:ext cx="761" cy="417"/>
                            </a:xfrm>
                            <a:prstGeom prst="rect">
                              <a:avLst/>
                            </a:prstGeom>
                            <a:solidFill>
                              <a:srgbClr val="EEC6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F7472" w:rsidRPr="00704438" w:rsidRDefault="00CF7472" w:rsidP="00CF7472">
                                <w:pPr>
                                  <w:ind w:right="2"/>
                                  <w:rPr>
                                    <w:rFonts w:ascii="Calibri" w:hAnsi="Calibri"/>
                                    <w:b/>
                                    <w:color w:val="000000" w:themeColor="text1"/>
                                    <w:sz w:val="18"/>
                                  </w:rPr>
                                </w:pPr>
                                <w:r w:rsidRPr="00704438">
                                  <w:rPr>
                                    <w:rFonts w:ascii="Calibri" w:hAnsi="Calibri"/>
                                    <w:b/>
                                    <w:color w:val="000000" w:themeColor="text1"/>
                                    <w:w w:val="95"/>
                                    <w:sz w:val="18"/>
                                  </w:rPr>
                                  <w:t xml:space="preserve">Dette produkt er </w:t>
                                </w:r>
                                <w:r w:rsidRPr="00704438">
                                  <w:rPr>
                                    <w:rFonts w:ascii="Calibri" w:hAnsi="Calibri"/>
                                    <w:b/>
                                    <w:color w:val="000000" w:themeColor="text1"/>
                                    <w:sz w:val="18"/>
                                  </w:rPr>
                                  <w:t>risikomærket</w:t>
                                </w:r>
                              </w:p>
                            </w:txbxContent>
                          </wps:txbx>
                          <wps:bodyPr rot="0" vert="horz" wrap="square" lIns="0" tIns="0" rIns="0" bIns="0" anchor="t" anchorCtr="0" upright="1">
                            <a:noAutofit/>
                          </wps:bodyPr>
                        </wps:wsp>
                        <wps:wsp>
                          <wps:cNvPr id="23" name="Text Box 3"/>
                          <wps:cNvSpPr txBox="1">
                            <a:spLocks noChangeArrowheads="1"/>
                          </wps:cNvSpPr>
                          <wps:spPr bwMode="auto">
                            <a:xfrm>
                              <a:off x="831" y="805"/>
                              <a:ext cx="553" cy="3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7472" w:rsidRPr="00704438" w:rsidRDefault="00CF7472" w:rsidP="00CF7472">
                                <w:pPr>
                                  <w:spacing w:line="201" w:lineRule="exact"/>
                                  <w:rPr>
                                    <w:rFonts w:ascii="Calibri" w:hAnsi="Calibri"/>
                                    <w:b/>
                                  </w:rPr>
                                </w:pPr>
                                <w:r w:rsidRPr="00704438">
                                  <w:rPr>
                                    <w:rFonts w:ascii="Calibri" w:hAnsi="Calibri"/>
                                    <w:b/>
                                  </w:rPr>
                                  <w:t>GUL</w:t>
                                </w:r>
                              </w:p>
                            </w:txbxContent>
                          </wps:txbx>
                          <wps:bodyPr rot="0" vert="horz" wrap="square" lIns="0" tIns="0" rIns="0" bIns="0" anchor="t" anchorCtr="0" upright="1">
                            <a:noAutofit/>
                          </wps:bodyPr>
                        </wps:wsp>
                      </wpg:grpSp>
                      <wps:wsp>
                        <wps:cNvPr id="24" name="Tekstfelt 2"/>
                        <wps:cNvSpPr txBox="1">
                          <a:spLocks noChangeArrowheads="1"/>
                        </wps:cNvSpPr>
                        <wps:spPr bwMode="auto">
                          <a:xfrm>
                            <a:off x="971169" y="118788"/>
                            <a:ext cx="4592226" cy="661123"/>
                          </a:xfrm>
                          <a:prstGeom prst="rect">
                            <a:avLst/>
                          </a:prstGeom>
                          <a:solidFill>
                            <a:srgbClr val="FFFFFF"/>
                          </a:solidFill>
                          <a:ln w="9525">
                            <a:noFill/>
                            <a:miter lim="800000"/>
                            <a:headEnd/>
                            <a:tailEnd/>
                          </a:ln>
                        </wps:spPr>
                        <wps:txbx>
                          <w:txbxContent>
                            <w:p w:rsidR="00CF7472" w:rsidRDefault="00CF7472" w:rsidP="00CF7472">
                              <w:pPr>
                                <w:spacing w:after="0" w:line="240" w:lineRule="auto"/>
                                <w:rPr>
                                  <w:rFonts w:ascii="Calibri" w:hAnsi="Calibri"/>
                                  <w:color w:val="808080" w:themeColor="background1" w:themeShade="80"/>
                                  <w:sz w:val="18"/>
                                  <w:szCs w:val="20"/>
                                </w:rPr>
                              </w:pPr>
                              <w:r w:rsidRPr="003A2BD3">
                                <w:rPr>
                                  <w:rFonts w:ascii="Calibri" w:hAnsi="Calibri"/>
                                  <w:color w:val="808080" w:themeColor="background1" w:themeShade="80"/>
                                  <w:sz w:val="18"/>
                                  <w:szCs w:val="20"/>
                                </w:rPr>
                                <w:t xml:space="preserve">Dette produkt er risikomærket gul. Det betyder efter Bekendtgørelse om risikomærkning af investeringsprodukter, at der er risiko for, at det investerede beløb kan tabes helt eller delvist, og produkttypen ikke er vanskelig at gennemskue. </w:t>
                              </w:r>
                            </w:p>
                            <w:p w:rsidR="00CF7472" w:rsidRPr="003A2BD3" w:rsidRDefault="00CF7472" w:rsidP="00CF7472">
                              <w:pPr>
                                <w:spacing w:after="0" w:line="240" w:lineRule="auto"/>
                                <w:rPr>
                                  <w:rFonts w:ascii="Calibri" w:hAnsi="Calibri" w:cs="Times New Roman"/>
                                  <w:color w:val="808080" w:themeColor="background1" w:themeShade="80"/>
                                  <w:sz w:val="18"/>
                                  <w:szCs w:val="20"/>
                                </w:rPr>
                              </w:pPr>
                              <w:r w:rsidRPr="003A2BD3">
                                <w:rPr>
                                  <w:rFonts w:ascii="Calibri" w:hAnsi="Calibri"/>
                                  <w:color w:val="808080" w:themeColor="background1" w:themeShade="80"/>
                                  <w:sz w:val="18"/>
                                  <w:szCs w:val="20"/>
                                </w:rPr>
                                <w:t xml:space="preserve">Du kan få mere at vide om risikomærkningen ved at kontakte os. </w:t>
                              </w:r>
                            </w:p>
                          </w:txbxContent>
                        </wps:txbx>
                        <wps:bodyPr rot="0" vert="horz" wrap="square" lIns="91440" tIns="45720" rIns="91440" bIns="45720" anchor="t" anchorCtr="0">
                          <a:spAutoFit/>
                        </wps:bodyPr>
                      </wps:wsp>
                    </wpg:wgp>
                  </a:graphicData>
                </a:graphic>
                <wp14:sizeRelH relativeFrom="margin">
                  <wp14:pctWidth>0</wp14:pctWidth>
                </wp14:sizeRelH>
                <wp14:sizeRelV relativeFrom="margin">
                  <wp14:pctHeight>0</wp14:pctHeight>
                </wp14:sizeRelV>
              </wp:anchor>
            </w:drawing>
          </mc:Choice>
          <mc:Fallback>
            <w:pict>
              <v:group w14:anchorId="236E5A48" id="Gruppe 18" o:spid="_x0000_s1026" style="position:absolute;margin-left:0;margin-top:204.4pt;width:438pt;height:63.25pt;z-index:251663360;mso-position-horizontal:left;mso-position-horizontal-relative:margin;mso-width-relative:margin;mso-height-relative:margin" coordorigin=",830" coordsize="55633,80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">
                <v:group id="Group 2" o:spid="_x0000_s1027" style="position:absolute;top:830;width:9335;height:8056" coordorigin="744,209" coordsize="875,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rect id="Rectangle 6" o:spid="_x0000_s1028" style="position:absolute;left:744;top:665;width:875;height:3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" fillcolor="#eec600" stroked="f"/>
                  <v:rect id="Rectangle 5" o:spid="_x0000_s1029" style="position:absolute;left:744;top:209;width:875;height:4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" fillcolor="#eec600" stroked="f"/>
                  <v:shapetype id="_x0000_t202" coordsize="21600,21600" o:spt="202" path="m,l,21600r21600,l21600,xe">
                    <v:stroke joinstyle="miter"/>
                    <v:path gradientshapeok="t" o:connecttype="rect"/>
                  </v:shapetype>
                  <v:shape id="Text Box 4" o:spid="_x0000_s1030" type="#_x0000_t202" style="position:absolute;left:831;top:247;width:761;height:4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" fillcolor="#eec600" stroked="f">
                    <v:textbox inset="0,0,0,0">
                      <w:txbxContent>
                        <w:p w:rsidR="00CF7472" w:rsidRPr="00704438" w:rsidRDefault="00CF7472" w:rsidP="00CF7472">
                          <w:pPr>
                            <w:ind w:right="2"/>
                            <w:rPr>
                              <w:rFonts w:ascii="Calibri" w:hAnsi="Calibri"/>
                              <w:b/>
                              <w:color w:val="000000" w:themeColor="text1"/>
                              <w:sz w:val="18"/>
                            </w:rPr>
                          </w:pPr>
                          <w:r w:rsidRPr="00704438">
                            <w:rPr>
                              <w:rFonts w:ascii="Calibri" w:hAnsi="Calibri"/>
                              <w:b/>
                              <w:color w:val="000000" w:themeColor="text1"/>
                              <w:w w:val="95"/>
                              <w:sz w:val="18"/>
                            </w:rPr>
                            <w:t xml:space="preserve">Dette produkt er </w:t>
                          </w:r>
                          <w:r w:rsidRPr="00704438">
                            <w:rPr>
                              <w:rFonts w:ascii="Calibri" w:hAnsi="Calibri"/>
                              <w:b/>
                              <w:color w:val="000000" w:themeColor="text1"/>
                              <w:sz w:val="18"/>
                            </w:rPr>
                            <w:t>risikomærket</w:t>
                          </w:r>
                        </w:p>
                      </w:txbxContent>
                    </v:textbox>
                  </v:shape>
                  <v:shape id="Text Box 3" o:spid="_x0000_s1031" type="#_x0000_t202" style="position:absolute;left:831;top:805;width:553;height:3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Z9wwAAANsAAAAPAAAAZHJzL2Rvd25yZXYueG1sRI9Ba8JA&#10;FITvQv/D8gredKOC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K4f2fcMAAADbAAAADwAA&#10;AAAAAAAAAAAAAAAHAgAAZHJzL2Rvd25yZXYueG1sUEsFBgAAAAADAAMAtwAAAPcCAAAAAA==&#10;" filled="f" stroked="f">
                    <v:textbox inset="0,0,0,0">
                      <w:txbxContent>
                        <w:p w:rsidR="00CF7472" w:rsidRPr="00704438" w:rsidRDefault="00CF7472" w:rsidP="00CF7472">
                          <w:pPr>
                            <w:spacing w:line="201" w:lineRule="exact"/>
                            <w:rPr>
                              <w:rFonts w:ascii="Calibri" w:hAnsi="Calibri"/>
                              <w:b/>
                            </w:rPr>
                          </w:pPr>
                          <w:r w:rsidRPr="00704438">
                            <w:rPr>
                              <w:rFonts w:ascii="Calibri" w:hAnsi="Calibri"/>
                              <w:b/>
                            </w:rPr>
                            <w:t>GUL</w:t>
                          </w:r>
                        </w:p>
                      </w:txbxContent>
                    </v:textbox>
                  </v:shape>
                </v:group>
                <v:shape id="Tekstfelt 2" o:spid="_x0000_s1032" type="#_x0000_t202" style="position:absolute;left:9711;top:1187;width:45922;height:66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" stroked="f">
                  <v:textbox style="mso-fit-shape-to-text:t">
                    <w:txbxContent>
                      <w:p w:rsidR="00CF7472" w:rsidRDefault="00CF7472" w:rsidP="00CF7472">
                        <w:pPr>
                          <w:spacing w:after="0" w:line="240" w:lineRule="auto"/>
                          <w:rPr>
                            <w:rFonts w:ascii="Calibri" w:hAnsi="Calibri"/>
                            <w:color w:val="808080" w:themeColor="background1" w:themeShade="80"/>
                            <w:sz w:val="18"/>
                            <w:szCs w:val="20"/>
                          </w:rPr>
                        </w:pPr>
                        <w:r w:rsidRPr="003A2BD3">
                          <w:rPr>
                            <w:rFonts w:ascii="Calibri" w:hAnsi="Calibri"/>
                            <w:color w:val="808080" w:themeColor="background1" w:themeShade="80"/>
                            <w:sz w:val="18"/>
                            <w:szCs w:val="20"/>
                          </w:rPr>
                          <w:t xml:space="preserve">Dette produkt er risikomærket gul. Det betyder efter Bekendtgørelse om risikomærkning af investeringsprodukter, at der er risiko for, at det investerede beløb kan tabes helt eller delvist, og produkttypen ikke er vanskelig at gennemskue. </w:t>
                        </w:r>
                      </w:p>
                      <w:p w:rsidR="00CF7472" w:rsidRPr="003A2BD3" w:rsidRDefault="00CF7472" w:rsidP="00CF7472">
                        <w:pPr>
                          <w:spacing w:after="0" w:line="240" w:lineRule="auto"/>
                          <w:rPr>
                            <w:rFonts w:ascii="Calibri" w:hAnsi="Calibri" w:cs="Times New Roman"/>
                            <w:color w:val="808080" w:themeColor="background1" w:themeShade="80"/>
                            <w:sz w:val="18"/>
                            <w:szCs w:val="20"/>
                          </w:rPr>
                        </w:pPr>
                        <w:r w:rsidRPr="003A2BD3">
                          <w:rPr>
                            <w:rFonts w:ascii="Calibri" w:hAnsi="Calibri"/>
                            <w:color w:val="808080" w:themeColor="background1" w:themeShade="80"/>
                            <w:sz w:val="18"/>
                            <w:szCs w:val="20"/>
                          </w:rPr>
                          <w:t xml:space="preserve">Du kan få mere at vide om risikomærkningen ved at kontakte os. </w:t>
                        </w:r>
                      </w:p>
                    </w:txbxContent>
                  </v:textbox>
                </v:shape>
                <w10:wrap anchorx="margin"/>
              </v:group>
            </w:pict>
          </mc:Fallback>
        </mc:AlternateContent>
      </w:r>
      <w:r w:rsidR="00576E28">
        <w:rPr>
          <w:noProof/>
        </w:rPr>
        <mc:AlternateContent>
          <mc:Choice Requires="wpg">
            <w:drawing>
              <wp:anchor distT="0" distB="0" distL="114300" distR="114300" simplePos="0" relativeHeight="251661312" behindDoc="0" locked="0" layoutInCell="1" allowOverlap="1" wp14:anchorId="1A16E0DB" wp14:editId="7ABCDF43">
                <wp:simplePos x="0" y="0"/>
                <wp:positionH relativeFrom="margin">
                  <wp:align>left</wp:align>
                </wp:positionH>
                <wp:positionV relativeFrom="paragraph">
                  <wp:posOffset>4332826</wp:posOffset>
                </wp:positionV>
                <wp:extent cx="5562738" cy="803188"/>
                <wp:effectExtent l="0" t="0" r="0" b="16510"/>
                <wp:wrapNone/>
                <wp:docPr id="3" name="Gruppe 3"/>
                <wp:cNvGraphicFramePr/>
                <a:graphic xmlns:a="http://schemas.openxmlformats.org/drawingml/2006/main">
                  <a:graphicData uri="http://schemas.microsoft.com/office/word/2010/wordprocessingGroup">
                    <wpg:wgp>
                      <wpg:cNvGrpSpPr/>
                      <wpg:grpSpPr>
                        <a:xfrm>
                          <a:off x="0" y="0"/>
                          <a:ext cx="5562738" cy="803188"/>
                          <a:chOff x="0" y="83008"/>
                          <a:chExt cx="5563395" cy="805618"/>
                        </a:xfrm>
                      </wpg:grpSpPr>
                      <wpg:grpSp>
                        <wpg:cNvPr id="4" name="Group 2"/>
                        <wpg:cNvGrpSpPr>
                          <a:grpSpLocks/>
                        </wpg:cNvGrpSpPr>
                        <wpg:grpSpPr bwMode="auto">
                          <a:xfrm>
                            <a:off x="0" y="83008"/>
                            <a:ext cx="933510" cy="805618"/>
                            <a:chOff x="744" y="209"/>
                            <a:chExt cx="875" cy="922"/>
                          </a:xfrm>
                        </wpg:grpSpPr>
                        <wps:wsp>
                          <wps:cNvPr id="5" name="Rectangle 6"/>
                          <wps:cNvSpPr>
                            <a:spLocks noChangeArrowheads="1"/>
                          </wps:cNvSpPr>
                          <wps:spPr bwMode="auto">
                            <a:xfrm>
                              <a:off x="744" y="665"/>
                              <a:ext cx="875" cy="388"/>
                            </a:xfrm>
                            <a:prstGeom prst="rect">
                              <a:avLst/>
                            </a:prstGeom>
                            <a:solidFill>
                              <a:srgbClr val="FFD4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 name="Rectangle 5"/>
                          <wps:cNvSpPr>
                            <a:spLocks noChangeArrowheads="1"/>
                          </wps:cNvSpPr>
                          <wps:spPr bwMode="auto">
                            <a:xfrm>
                              <a:off x="744" y="209"/>
                              <a:ext cx="875" cy="455"/>
                            </a:xfrm>
                            <a:prstGeom prst="rect">
                              <a:avLst/>
                            </a:prstGeom>
                            <a:solidFill>
                              <a:srgbClr val="023E8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 name="Text Box 4"/>
                          <wps:cNvSpPr txBox="1">
                            <a:spLocks noChangeArrowheads="1"/>
                          </wps:cNvSpPr>
                          <wps:spPr bwMode="auto">
                            <a:xfrm>
                              <a:off x="831" y="247"/>
                              <a:ext cx="761" cy="4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6E28" w:rsidRPr="00321A8B" w:rsidRDefault="00576E28" w:rsidP="00576E28">
                                <w:pPr>
                                  <w:ind w:right="2"/>
                                  <w:rPr>
                                    <w:rFonts w:ascii="Calibri" w:hAnsi="Calibri"/>
                                    <w:b/>
                                    <w:sz w:val="18"/>
                                  </w:rPr>
                                </w:pPr>
                                <w:r w:rsidRPr="00321A8B">
                                  <w:rPr>
                                    <w:rFonts w:ascii="Calibri" w:hAnsi="Calibri"/>
                                    <w:b/>
                                    <w:color w:val="FFFFFF"/>
                                    <w:w w:val="95"/>
                                    <w:sz w:val="18"/>
                                  </w:rPr>
                                  <w:t xml:space="preserve">Dette produkt er </w:t>
                                </w:r>
                                <w:r w:rsidRPr="00321A8B">
                                  <w:rPr>
                                    <w:rFonts w:ascii="Calibri" w:hAnsi="Calibri"/>
                                    <w:b/>
                                    <w:color w:val="FFFFFF"/>
                                    <w:sz w:val="18"/>
                                  </w:rPr>
                                  <w:t>risikomærket</w:t>
                                </w:r>
                              </w:p>
                            </w:txbxContent>
                          </wps:txbx>
                          <wps:bodyPr rot="0" vert="horz" wrap="square" lIns="0" tIns="0" rIns="0" bIns="0" anchor="t" anchorCtr="0" upright="1">
                            <a:noAutofit/>
                          </wps:bodyPr>
                        </wps:wsp>
                        <wps:wsp>
                          <wps:cNvPr id="16" name="Text Box 3"/>
                          <wps:cNvSpPr txBox="1">
                            <a:spLocks noChangeArrowheads="1"/>
                          </wps:cNvSpPr>
                          <wps:spPr bwMode="auto">
                            <a:xfrm>
                              <a:off x="831" y="805"/>
                              <a:ext cx="553" cy="3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6E28" w:rsidRPr="00321A8B" w:rsidRDefault="00576E28" w:rsidP="00576E28">
                                <w:pPr>
                                  <w:spacing w:line="201" w:lineRule="exact"/>
                                  <w:rPr>
                                    <w:rFonts w:ascii="Calibri" w:hAnsi="Calibri"/>
                                    <w:b/>
                                  </w:rPr>
                                </w:pPr>
                                <w:r w:rsidRPr="00321A8B">
                                  <w:rPr>
                                    <w:rFonts w:ascii="Calibri" w:hAnsi="Calibri"/>
                                    <w:b/>
                                    <w:color w:val="023E88"/>
                                  </w:rPr>
                                  <w:t>GUL</w:t>
                                </w:r>
                              </w:p>
                            </w:txbxContent>
                          </wps:txbx>
                          <wps:bodyPr rot="0" vert="horz" wrap="square" lIns="0" tIns="0" rIns="0" bIns="0" anchor="t" anchorCtr="0" upright="1">
                            <a:noAutofit/>
                          </wps:bodyPr>
                        </wps:wsp>
                      </wpg:grpSp>
                      <wps:wsp>
                        <wps:cNvPr id="17" name="Tekstfelt 2"/>
                        <wps:cNvSpPr txBox="1">
                          <a:spLocks noChangeArrowheads="1"/>
                        </wps:cNvSpPr>
                        <wps:spPr bwMode="auto">
                          <a:xfrm>
                            <a:off x="971169" y="118788"/>
                            <a:ext cx="4592226" cy="661123"/>
                          </a:xfrm>
                          <a:prstGeom prst="rect">
                            <a:avLst/>
                          </a:prstGeom>
                          <a:solidFill>
                            <a:srgbClr val="FFFFFF"/>
                          </a:solidFill>
                          <a:ln w="9525">
                            <a:noFill/>
                            <a:miter lim="800000"/>
                            <a:headEnd/>
                            <a:tailEnd/>
                          </a:ln>
                        </wps:spPr>
                        <wps:txbx>
                          <w:txbxContent>
                            <w:p w:rsidR="00576E28" w:rsidRDefault="00576E28" w:rsidP="00576E28">
                              <w:pPr>
                                <w:spacing w:after="0" w:line="240" w:lineRule="auto"/>
                                <w:rPr>
                                  <w:rFonts w:ascii="Calibri" w:hAnsi="Calibri"/>
                                  <w:color w:val="808080" w:themeColor="background1" w:themeShade="80"/>
                                  <w:sz w:val="18"/>
                                  <w:szCs w:val="20"/>
                                </w:rPr>
                              </w:pPr>
                              <w:r w:rsidRPr="003A2BD3">
                                <w:rPr>
                                  <w:rFonts w:ascii="Calibri" w:hAnsi="Calibri"/>
                                  <w:color w:val="808080" w:themeColor="background1" w:themeShade="80"/>
                                  <w:sz w:val="18"/>
                                  <w:szCs w:val="20"/>
                                </w:rPr>
                                <w:t xml:space="preserve">Dette produkt er risikomærket gul. Det betyder efter Bekendtgørelse om risikomærkning af investeringsprodukter, at der er risiko for, at det investerede beløb kan tabes helt eller delvist, og produkttypen ikke er vanskelig at gennemskue. </w:t>
                              </w:r>
                            </w:p>
                            <w:p w:rsidR="00576E28" w:rsidRPr="003A2BD3" w:rsidRDefault="00576E28" w:rsidP="00576E28">
                              <w:pPr>
                                <w:spacing w:after="0" w:line="240" w:lineRule="auto"/>
                                <w:rPr>
                                  <w:rFonts w:ascii="Calibri" w:hAnsi="Calibri" w:cs="Times New Roman"/>
                                  <w:color w:val="808080" w:themeColor="background1" w:themeShade="80"/>
                                  <w:sz w:val="18"/>
                                  <w:szCs w:val="20"/>
                                </w:rPr>
                              </w:pPr>
                              <w:r w:rsidRPr="003A2BD3">
                                <w:rPr>
                                  <w:rFonts w:ascii="Calibri" w:hAnsi="Calibri"/>
                                  <w:color w:val="808080" w:themeColor="background1" w:themeShade="80"/>
                                  <w:sz w:val="18"/>
                                  <w:szCs w:val="20"/>
                                </w:rPr>
                                <w:t xml:space="preserve">Du kan få mere at vide om risikomærkningen ved at kontakte os. </w:t>
                              </w:r>
                            </w:p>
                          </w:txbxContent>
                        </wps:txbx>
                        <wps:bodyPr rot="0" vert="horz" wrap="square" lIns="91440" tIns="45720" rIns="91440" bIns="45720" anchor="t" anchorCtr="0">
                          <a:spAutoFit/>
                        </wps:bodyPr>
                      </wps:wsp>
                    </wpg:wgp>
                  </a:graphicData>
                </a:graphic>
                <wp14:sizeRelH relativeFrom="margin">
                  <wp14:pctWidth>0</wp14:pctWidth>
                </wp14:sizeRelH>
                <wp14:sizeRelV relativeFrom="margin">
                  <wp14:pctHeight>0</wp14:pctHeight>
                </wp14:sizeRelV>
              </wp:anchor>
            </w:drawing>
          </mc:Choice>
          <mc:Fallback>
            <w:pict>
              <v:group w14:anchorId="1A16E0DB" id="Gruppe 3" o:spid="_x0000_s1033" style="position:absolute;margin-left:0;margin-top:341.15pt;width:438pt;height:63.25pt;z-index:251661312;mso-position-horizontal:left;mso-position-horizontal-relative:margin;mso-width-relative:margin;mso-height-relative:margin" coordorigin=",830" coordsize="55633,80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">
                <v:group id="Group 2" o:spid="_x0000_s1034" style="position:absolute;top:830;width:9335;height:8056" coordorigin="744,209" coordsize="875,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rect id="Rectangle 6" o:spid="_x0000_s1035" style="position:absolute;left:744;top:665;width:875;height:3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" fillcolor="#ffd400" stroked="f"/>
                  <v:rect id="Rectangle 5" o:spid="_x0000_s1036" style="position:absolute;left:744;top:209;width:875;height:4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" fillcolor="#023e88" stroked="f"/>
                  <v:shape id="Text Box 4" o:spid="_x0000_s1037" type="#_x0000_t202" style="position:absolute;left:831;top:247;width:761;height:4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gEvwQAAANsAAAAPAAAAZHJzL2Rvd25yZXYueG1sRE9Ni8Iw&#10;EL0v+B/CCN7W1AVl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AVOAS/BAAAA2wAAAA8AAAAA&#10;AAAAAAAAAAAABwIAAGRycy9kb3ducmV2LnhtbFBLBQYAAAAAAwADALcAAAD1AgAAAAA=&#10;" filled="f" stroked="f">
                    <v:textbox inset="0,0,0,0">
                      <w:txbxContent>
                        <w:p w:rsidR="00576E28" w:rsidRPr="00321A8B" w:rsidRDefault="00576E28" w:rsidP="00576E28">
                          <w:pPr>
                            <w:ind w:right="2"/>
                            <w:rPr>
                              <w:rFonts w:ascii="Calibri" w:hAnsi="Calibri"/>
                              <w:b/>
                              <w:sz w:val="18"/>
                            </w:rPr>
                          </w:pPr>
                          <w:r w:rsidRPr="00321A8B">
                            <w:rPr>
                              <w:rFonts w:ascii="Calibri" w:hAnsi="Calibri"/>
                              <w:b/>
                              <w:color w:val="FFFFFF"/>
                              <w:w w:val="95"/>
                              <w:sz w:val="18"/>
                            </w:rPr>
                            <w:t xml:space="preserve">Dette produkt er </w:t>
                          </w:r>
                          <w:r w:rsidRPr="00321A8B">
                            <w:rPr>
                              <w:rFonts w:ascii="Calibri" w:hAnsi="Calibri"/>
                              <w:b/>
                              <w:color w:val="FFFFFF"/>
                              <w:sz w:val="18"/>
                            </w:rPr>
                            <w:t>risikomærket</w:t>
                          </w:r>
                        </w:p>
                      </w:txbxContent>
                    </v:textbox>
                  </v:shape>
                  <v:shape id="Text Box 3" o:spid="_x0000_s1038" type="#_x0000_t202" style="position:absolute;left:831;top:805;width:553;height:3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" filled="f" stroked="f">
                    <v:textbox inset="0,0,0,0">
                      <w:txbxContent>
                        <w:p w:rsidR="00576E28" w:rsidRPr="00321A8B" w:rsidRDefault="00576E28" w:rsidP="00576E28">
                          <w:pPr>
                            <w:spacing w:line="201" w:lineRule="exact"/>
                            <w:rPr>
                              <w:rFonts w:ascii="Calibri" w:hAnsi="Calibri"/>
                              <w:b/>
                            </w:rPr>
                          </w:pPr>
                          <w:r w:rsidRPr="00321A8B">
                            <w:rPr>
                              <w:rFonts w:ascii="Calibri" w:hAnsi="Calibri"/>
                              <w:b/>
                              <w:color w:val="023E88"/>
                            </w:rPr>
                            <w:t>GUL</w:t>
                          </w:r>
                        </w:p>
                      </w:txbxContent>
                    </v:textbox>
                  </v:shape>
                </v:group>
                <v:shape id="Tekstfelt 2" o:spid="_x0000_s1039" type="#_x0000_t202" style="position:absolute;left:9711;top:1187;width:45922;height:66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" stroked="f">
                  <v:textbox style="mso-fit-shape-to-text:t">
                    <w:txbxContent>
                      <w:p w:rsidR="00576E28" w:rsidRDefault="00576E28" w:rsidP="00576E28">
                        <w:pPr>
                          <w:spacing w:after="0" w:line="240" w:lineRule="auto"/>
                          <w:rPr>
                            <w:rFonts w:ascii="Calibri" w:hAnsi="Calibri"/>
                            <w:color w:val="808080" w:themeColor="background1" w:themeShade="80"/>
                            <w:sz w:val="18"/>
                            <w:szCs w:val="20"/>
                          </w:rPr>
                        </w:pPr>
                        <w:r w:rsidRPr="003A2BD3">
                          <w:rPr>
                            <w:rFonts w:ascii="Calibri" w:hAnsi="Calibri"/>
                            <w:color w:val="808080" w:themeColor="background1" w:themeShade="80"/>
                            <w:sz w:val="18"/>
                            <w:szCs w:val="20"/>
                          </w:rPr>
                          <w:t xml:space="preserve">Dette produkt er risikomærket gul. Det betyder efter Bekendtgørelse om risikomærkning af investeringsprodukter, at der er risiko for, at det investerede beløb kan tabes helt eller delvist, og produkttypen ikke er vanskelig at gennemskue. </w:t>
                        </w:r>
                      </w:p>
                      <w:p w:rsidR="00576E28" w:rsidRPr="003A2BD3" w:rsidRDefault="00576E28" w:rsidP="00576E28">
                        <w:pPr>
                          <w:spacing w:after="0" w:line="240" w:lineRule="auto"/>
                          <w:rPr>
                            <w:rFonts w:ascii="Calibri" w:hAnsi="Calibri" w:cs="Times New Roman"/>
                            <w:color w:val="808080" w:themeColor="background1" w:themeShade="80"/>
                            <w:sz w:val="18"/>
                            <w:szCs w:val="20"/>
                          </w:rPr>
                        </w:pPr>
                        <w:r w:rsidRPr="003A2BD3">
                          <w:rPr>
                            <w:rFonts w:ascii="Calibri" w:hAnsi="Calibri"/>
                            <w:color w:val="808080" w:themeColor="background1" w:themeShade="80"/>
                            <w:sz w:val="18"/>
                            <w:szCs w:val="20"/>
                          </w:rPr>
                          <w:t xml:space="preserve">Du kan få mere at vide om risikomærkningen ved at kontakte os. </w:t>
                        </w:r>
                      </w:p>
                    </w:txbxContent>
                  </v:textbox>
                </v:shape>
                <w10:wrap anchorx="margin"/>
              </v:group>
            </w:pict>
          </mc:Fallback>
        </mc:AlternateContent>
      </w:r>
    </w:p>
    <w:sectPr w:rsidR="00480C44" w:rsidRPr="00971A87" w:rsidSect="004B28D5">
      <w:type w:val="continuous"/>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FoundryFormSans-Book">
    <w:altName w:val="Times New Roman"/>
    <w:charset w:val="00"/>
    <w:family w:val="auto"/>
    <w:pitch w:val="variable"/>
  </w:font>
  <w:font w:name="Segoe UI">
    <w:panose1 w:val="020B0502040204020203"/>
    <w:charset w:val="00"/>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39018E"/>
    <w:multiLevelType w:val="hybridMultilevel"/>
    <w:tmpl w:val="81CA9454"/>
    <w:lvl w:ilvl="0" w:tplc="036475AA">
      <w:start w:val="1"/>
      <w:numFmt w:val="bullet"/>
      <w:lvlText w:val=""/>
      <w:lvlJc w:val="left"/>
      <w:pPr>
        <w:ind w:left="1062" w:hanging="227"/>
      </w:pPr>
      <w:rPr>
        <w:rFonts w:ascii="Wingdings" w:eastAsia="Wingdings" w:hAnsi="Wingdings" w:hint="default"/>
        <w:color w:val="060B7F"/>
        <w:sz w:val="18"/>
        <w:szCs w:val="18"/>
      </w:rPr>
    </w:lvl>
    <w:lvl w:ilvl="1" w:tplc="6262B296">
      <w:start w:val="1"/>
      <w:numFmt w:val="bullet"/>
      <w:lvlText w:val="•"/>
      <w:lvlJc w:val="left"/>
      <w:pPr>
        <w:ind w:left="1336" w:hanging="227"/>
      </w:pPr>
      <w:rPr>
        <w:rFonts w:hint="default"/>
      </w:rPr>
    </w:lvl>
    <w:lvl w:ilvl="2" w:tplc="9BB4C0E6">
      <w:start w:val="1"/>
      <w:numFmt w:val="bullet"/>
      <w:lvlText w:val="•"/>
      <w:lvlJc w:val="left"/>
      <w:pPr>
        <w:ind w:left="1609" w:hanging="227"/>
      </w:pPr>
      <w:rPr>
        <w:rFonts w:hint="default"/>
      </w:rPr>
    </w:lvl>
    <w:lvl w:ilvl="3" w:tplc="B48A8FD0">
      <w:start w:val="1"/>
      <w:numFmt w:val="bullet"/>
      <w:lvlText w:val="•"/>
      <w:lvlJc w:val="left"/>
      <w:pPr>
        <w:ind w:left="1883" w:hanging="227"/>
      </w:pPr>
      <w:rPr>
        <w:rFonts w:hint="default"/>
      </w:rPr>
    </w:lvl>
    <w:lvl w:ilvl="4" w:tplc="A4FE1C7C">
      <w:start w:val="1"/>
      <w:numFmt w:val="bullet"/>
      <w:lvlText w:val="•"/>
      <w:lvlJc w:val="left"/>
      <w:pPr>
        <w:ind w:left="2157" w:hanging="227"/>
      </w:pPr>
      <w:rPr>
        <w:rFonts w:hint="default"/>
      </w:rPr>
    </w:lvl>
    <w:lvl w:ilvl="5" w:tplc="05DE6190">
      <w:start w:val="1"/>
      <w:numFmt w:val="bullet"/>
      <w:lvlText w:val="•"/>
      <w:lvlJc w:val="left"/>
      <w:pPr>
        <w:ind w:left="2430" w:hanging="227"/>
      </w:pPr>
      <w:rPr>
        <w:rFonts w:hint="default"/>
      </w:rPr>
    </w:lvl>
    <w:lvl w:ilvl="6" w:tplc="4864713A">
      <w:start w:val="1"/>
      <w:numFmt w:val="bullet"/>
      <w:lvlText w:val="•"/>
      <w:lvlJc w:val="left"/>
      <w:pPr>
        <w:ind w:left="2704" w:hanging="227"/>
      </w:pPr>
      <w:rPr>
        <w:rFonts w:hint="default"/>
      </w:rPr>
    </w:lvl>
    <w:lvl w:ilvl="7" w:tplc="5AB8E2A2">
      <w:start w:val="1"/>
      <w:numFmt w:val="bullet"/>
      <w:lvlText w:val="•"/>
      <w:lvlJc w:val="left"/>
      <w:pPr>
        <w:ind w:left="2977" w:hanging="227"/>
      </w:pPr>
      <w:rPr>
        <w:rFonts w:hint="default"/>
      </w:rPr>
    </w:lvl>
    <w:lvl w:ilvl="8" w:tplc="E2F4667A">
      <w:start w:val="1"/>
      <w:numFmt w:val="bullet"/>
      <w:lvlText w:val="•"/>
      <w:lvlJc w:val="left"/>
      <w:pPr>
        <w:ind w:left="3251" w:hanging="227"/>
      </w:pPr>
      <w:rPr>
        <w:rFonts w:hint="default"/>
      </w:rPr>
    </w:lvl>
  </w:abstractNum>
  <w:abstractNum w:abstractNumId="1" w15:restartNumberingAfterBreak="0">
    <w:nsid w:val="4CBF72A5"/>
    <w:multiLevelType w:val="hybridMultilevel"/>
    <w:tmpl w:val="EDB6F04C"/>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585F7D99"/>
    <w:multiLevelType w:val="hybridMultilevel"/>
    <w:tmpl w:val="420AFC86"/>
    <w:lvl w:ilvl="0" w:tplc="3D508264">
      <w:start w:val="1"/>
      <w:numFmt w:val="bullet"/>
      <w:lvlText w:val=""/>
      <w:lvlJc w:val="left"/>
      <w:pPr>
        <w:ind w:left="558" w:hanging="227"/>
      </w:pPr>
      <w:rPr>
        <w:rFonts w:ascii="Wingdings" w:eastAsia="Wingdings" w:hAnsi="Wingdings" w:hint="default"/>
        <w:color w:val="060B7F"/>
        <w:sz w:val="18"/>
        <w:szCs w:val="18"/>
      </w:rPr>
    </w:lvl>
    <w:lvl w:ilvl="1" w:tplc="D90C40E4">
      <w:start w:val="1"/>
      <w:numFmt w:val="bullet"/>
      <w:lvlText w:val=""/>
      <w:lvlJc w:val="left"/>
      <w:pPr>
        <w:ind w:left="785" w:hanging="227"/>
      </w:pPr>
      <w:rPr>
        <w:rFonts w:ascii="Wingdings" w:eastAsia="Wingdings" w:hAnsi="Wingdings" w:hint="default"/>
        <w:color w:val="556771"/>
        <w:sz w:val="18"/>
        <w:szCs w:val="18"/>
      </w:rPr>
    </w:lvl>
    <w:lvl w:ilvl="2" w:tplc="E26252DA">
      <w:start w:val="1"/>
      <w:numFmt w:val="bullet"/>
      <w:lvlText w:val="•"/>
      <w:lvlJc w:val="left"/>
      <w:pPr>
        <w:ind w:left="1065" w:hanging="227"/>
      </w:pPr>
      <w:rPr>
        <w:rFonts w:hint="default"/>
      </w:rPr>
    </w:lvl>
    <w:lvl w:ilvl="3" w:tplc="FFF4CEA4">
      <w:start w:val="1"/>
      <w:numFmt w:val="bullet"/>
      <w:lvlText w:val="•"/>
      <w:lvlJc w:val="left"/>
      <w:pPr>
        <w:ind w:left="1344" w:hanging="227"/>
      </w:pPr>
      <w:rPr>
        <w:rFonts w:hint="default"/>
      </w:rPr>
    </w:lvl>
    <w:lvl w:ilvl="4" w:tplc="E9261B4E">
      <w:start w:val="1"/>
      <w:numFmt w:val="bullet"/>
      <w:lvlText w:val="•"/>
      <w:lvlJc w:val="left"/>
      <w:pPr>
        <w:ind w:left="1624" w:hanging="227"/>
      </w:pPr>
      <w:rPr>
        <w:rFonts w:hint="default"/>
      </w:rPr>
    </w:lvl>
    <w:lvl w:ilvl="5" w:tplc="C0E81B56">
      <w:start w:val="1"/>
      <w:numFmt w:val="bullet"/>
      <w:lvlText w:val="•"/>
      <w:lvlJc w:val="left"/>
      <w:pPr>
        <w:ind w:left="1904" w:hanging="227"/>
      </w:pPr>
      <w:rPr>
        <w:rFonts w:hint="default"/>
      </w:rPr>
    </w:lvl>
    <w:lvl w:ilvl="6" w:tplc="F56E4056">
      <w:start w:val="1"/>
      <w:numFmt w:val="bullet"/>
      <w:lvlText w:val="•"/>
      <w:lvlJc w:val="left"/>
      <w:pPr>
        <w:ind w:left="2184" w:hanging="227"/>
      </w:pPr>
      <w:rPr>
        <w:rFonts w:hint="default"/>
      </w:rPr>
    </w:lvl>
    <w:lvl w:ilvl="7" w:tplc="8AA4482A">
      <w:start w:val="1"/>
      <w:numFmt w:val="bullet"/>
      <w:lvlText w:val="•"/>
      <w:lvlJc w:val="left"/>
      <w:pPr>
        <w:ind w:left="2463" w:hanging="227"/>
      </w:pPr>
      <w:rPr>
        <w:rFonts w:hint="default"/>
      </w:rPr>
    </w:lvl>
    <w:lvl w:ilvl="8" w:tplc="CFDCB0BE">
      <w:start w:val="1"/>
      <w:numFmt w:val="bullet"/>
      <w:lvlText w:val="•"/>
      <w:lvlJc w:val="left"/>
      <w:pPr>
        <w:ind w:left="2743" w:hanging="227"/>
      </w:pPr>
      <w:rPr>
        <w:rFonts w:hint="default"/>
      </w:rPr>
    </w:lvl>
  </w:abstractNum>
  <w:abstractNum w:abstractNumId="3" w15:restartNumberingAfterBreak="0">
    <w:nsid w:val="59C1126E"/>
    <w:multiLevelType w:val="hybridMultilevel"/>
    <w:tmpl w:val="8FC63B9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626203DB"/>
    <w:multiLevelType w:val="hybridMultilevel"/>
    <w:tmpl w:val="31CCAAA4"/>
    <w:lvl w:ilvl="0" w:tplc="04060001">
      <w:start w:val="1"/>
      <w:numFmt w:val="bullet"/>
      <w:lvlText w:val=""/>
      <w:lvlJc w:val="left"/>
      <w:pPr>
        <w:ind w:left="1317" w:hanging="360"/>
      </w:pPr>
      <w:rPr>
        <w:rFonts w:ascii="Symbol" w:hAnsi="Symbol" w:hint="default"/>
      </w:rPr>
    </w:lvl>
    <w:lvl w:ilvl="1" w:tplc="04060003" w:tentative="1">
      <w:start w:val="1"/>
      <w:numFmt w:val="bullet"/>
      <w:lvlText w:val="o"/>
      <w:lvlJc w:val="left"/>
      <w:pPr>
        <w:ind w:left="2037" w:hanging="360"/>
      </w:pPr>
      <w:rPr>
        <w:rFonts w:ascii="Courier New" w:hAnsi="Courier New" w:cs="Courier New" w:hint="default"/>
      </w:rPr>
    </w:lvl>
    <w:lvl w:ilvl="2" w:tplc="04060005" w:tentative="1">
      <w:start w:val="1"/>
      <w:numFmt w:val="bullet"/>
      <w:lvlText w:val=""/>
      <w:lvlJc w:val="left"/>
      <w:pPr>
        <w:ind w:left="2757" w:hanging="360"/>
      </w:pPr>
      <w:rPr>
        <w:rFonts w:ascii="Wingdings" w:hAnsi="Wingdings" w:hint="default"/>
      </w:rPr>
    </w:lvl>
    <w:lvl w:ilvl="3" w:tplc="04060001" w:tentative="1">
      <w:start w:val="1"/>
      <w:numFmt w:val="bullet"/>
      <w:lvlText w:val=""/>
      <w:lvlJc w:val="left"/>
      <w:pPr>
        <w:ind w:left="3477" w:hanging="360"/>
      </w:pPr>
      <w:rPr>
        <w:rFonts w:ascii="Symbol" w:hAnsi="Symbol" w:hint="default"/>
      </w:rPr>
    </w:lvl>
    <w:lvl w:ilvl="4" w:tplc="04060003" w:tentative="1">
      <w:start w:val="1"/>
      <w:numFmt w:val="bullet"/>
      <w:lvlText w:val="o"/>
      <w:lvlJc w:val="left"/>
      <w:pPr>
        <w:ind w:left="4197" w:hanging="360"/>
      </w:pPr>
      <w:rPr>
        <w:rFonts w:ascii="Courier New" w:hAnsi="Courier New" w:cs="Courier New" w:hint="default"/>
      </w:rPr>
    </w:lvl>
    <w:lvl w:ilvl="5" w:tplc="04060005" w:tentative="1">
      <w:start w:val="1"/>
      <w:numFmt w:val="bullet"/>
      <w:lvlText w:val=""/>
      <w:lvlJc w:val="left"/>
      <w:pPr>
        <w:ind w:left="4917" w:hanging="360"/>
      </w:pPr>
      <w:rPr>
        <w:rFonts w:ascii="Wingdings" w:hAnsi="Wingdings" w:hint="default"/>
      </w:rPr>
    </w:lvl>
    <w:lvl w:ilvl="6" w:tplc="04060001" w:tentative="1">
      <w:start w:val="1"/>
      <w:numFmt w:val="bullet"/>
      <w:lvlText w:val=""/>
      <w:lvlJc w:val="left"/>
      <w:pPr>
        <w:ind w:left="5637" w:hanging="360"/>
      </w:pPr>
      <w:rPr>
        <w:rFonts w:ascii="Symbol" w:hAnsi="Symbol" w:hint="default"/>
      </w:rPr>
    </w:lvl>
    <w:lvl w:ilvl="7" w:tplc="04060003" w:tentative="1">
      <w:start w:val="1"/>
      <w:numFmt w:val="bullet"/>
      <w:lvlText w:val="o"/>
      <w:lvlJc w:val="left"/>
      <w:pPr>
        <w:ind w:left="6357" w:hanging="360"/>
      </w:pPr>
      <w:rPr>
        <w:rFonts w:ascii="Courier New" w:hAnsi="Courier New" w:cs="Courier New" w:hint="default"/>
      </w:rPr>
    </w:lvl>
    <w:lvl w:ilvl="8" w:tplc="04060005" w:tentative="1">
      <w:start w:val="1"/>
      <w:numFmt w:val="bullet"/>
      <w:lvlText w:val=""/>
      <w:lvlJc w:val="left"/>
      <w:pPr>
        <w:ind w:left="7077" w:hanging="360"/>
      </w:pPr>
      <w:rPr>
        <w:rFonts w:ascii="Wingdings" w:hAnsi="Wingdings" w:hint="default"/>
      </w:rPr>
    </w:lvl>
  </w:abstractNum>
  <w:abstractNum w:abstractNumId="5" w15:restartNumberingAfterBreak="0">
    <w:nsid w:val="70B93B7B"/>
    <w:multiLevelType w:val="hybridMultilevel"/>
    <w:tmpl w:val="23A6DDCE"/>
    <w:lvl w:ilvl="0" w:tplc="B8262708">
      <w:start w:val="1"/>
      <w:numFmt w:val="bullet"/>
      <w:lvlText w:val=""/>
      <w:lvlJc w:val="left"/>
      <w:pPr>
        <w:ind w:left="722" w:hanging="227"/>
      </w:pPr>
      <w:rPr>
        <w:rFonts w:ascii="Wingdings" w:eastAsia="Wingdings" w:hAnsi="Wingdings" w:hint="default"/>
        <w:color w:val="060B7F"/>
        <w:sz w:val="18"/>
        <w:szCs w:val="18"/>
      </w:rPr>
    </w:lvl>
    <w:lvl w:ilvl="1" w:tplc="DED4F102">
      <w:start w:val="1"/>
      <w:numFmt w:val="bullet"/>
      <w:lvlText w:val="•"/>
      <w:lvlJc w:val="left"/>
      <w:pPr>
        <w:ind w:left="997" w:hanging="227"/>
      </w:pPr>
      <w:rPr>
        <w:rFonts w:hint="default"/>
      </w:rPr>
    </w:lvl>
    <w:lvl w:ilvl="2" w:tplc="9C7A976E">
      <w:start w:val="1"/>
      <w:numFmt w:val="bullet"/>
      <w:lvlText w:val="•"/>
      <w:lvlJc w:val="left"/>
      <w:pPr>
        <w:ind w:left="1272" w:hanging="227"/>
      </w:pPr>
      <w:rPr>
        <w:rFonts w:hint="default"/>
      </w:rPr>
    </w:lvl>
    <w:lvl w:ilvl="3" w:tplc="054C7208">
      <w:start w:val="1"/>
      <w:numFmt w:val="bullet"/>
      <w:lvlText w:val="•"/>
      <w:lvlJc w:val="left"/>
      <w:pPr>
        <w:ind w:left="1547" w:hanging="227"/>
      </w:pPr>
      <w:rPr>
        <w:rFonts w:hint="default"/>
      </w:rPr>
    </w:lvl>
    <w:lvl w:ilvl="4" w:tplc="2020BE24">
      <w:start w:val="1"/>
      <w:numFmt w:val="bullet"/>
      <w:lvlText w:val="•"/>
      <w:lvlJc w:val="left"/>
      <w:pPr>
        <w:ind w:left="1822" w:hanging="227"/>
      </w:pPr>
      <w:rPr>
        <w:rFonts w:hint="default"/>
      </w:rPr>
    </w:lvl>
    <w:lvl w:ilvl="5" w:tplc="F8881560">
      <w:start w:val="1"/>
      <w:numFmt w:val="bullet"/>
      <w:lvlText w:val="•"/>
      <w:lvlJc w:val="left"/>
      <w:pPr>
        <w:ind w:left="2097" w:hanging="227"/>
      </w:pPr>
      <w:rPr>
        <w:rFonts w:hint="default"/>
      </w:rPr>
    </w:lvl>
    <w:lvl w:ilvl="6" w:tplc="4AAC2082">
      <w:start w:val="1"/>
      <w:numFmt w:val="bullet"/>
      <w:lvlText w:val="•"/>
      <w:lvlJc w:val="left"/>
      <w:pPr>
        <w:ind w:left="2372" w:hanging="227"/>
      </w:pPr>
      <w:rPr>
        <w:rFonts w:hint="default"/>
      </w:rPr>
    </w:lvl>
    <w:lvl w:ilvl="7" w:tplc="85547380">
      <w:start w:val="1"/>
      <w:numFmt w:val="bullet"/>
      <w:lvlText w:val="•"/>
      <w:lvlJc w:val="left"/>
      <w:pPr>
        <w:ind w:left="2647" w:hanging="227"/>
      </w:pPr>
      <w:rPr>
        <w:rFonts w:hint="default"/>
      </w:rPr>
    </w:lvl>
    <w:lvl w:ilvl="8" w:tplc="881E6CCA">
      <w:start w:val="1"/>
      <w:numFmt w:val="bullet"/>
      <w:lvlText w:val="•"/>
      <w:lvlJc w:val="left"/>
      <w:pPr>
        <w:ind w:left="2922" w:hanging="227"/>
      </w:pPr>
      <w:rPr>
        <w:rFonts w:hint="default"/>
      </w:rPr>
    </w:lvl>
  </w:abstractNum>
  <w:num w:numId="1">
    <w:abstractNumId w:val="0"/>
  </w:num>
  <w:num w:numId="2">
    <w:abstractNumId w:val="5"/>
  </w:num>
  <w:num w:numId="3">
    <w:abstractNumId w:val="2"/>
  </w:num>
  <w:num w:numId="4">
    <w:abstractNumId w:val="1"/>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779E"/>
    <w:rsid w:val="000135D5"/>
    <w:rsid w:val="00026373"/>
    <w:rsid w:val="000971DC"/>
    <w:rsid w:val="00160C2F"/>
    <w:rsid w:val="00160D9A"/>
    <w:rsid w:val="002D4D84"/>
    <w:rsid w:val="00300B9D"/>
    <w:rsid w:val="0032049E"/>
    <w:rsid w:val="003A2BD3"/>
    <w:rsid w:val="003D779E"/>
    <w:rsid w:val="00480C44"/>
    <w:rsid w:val="004A7853"/>
    <w:rsid w:val="004B28D5"/>
    <w:rsid w:val="00576E28"/>
    <w:rsid w:val="005B54B8"/>
    <w:rsid w:val="00624D82"/>
    <w:rsid w:val="006A135D"/>
    <w:rsid w:val="007236C7"/>
    <w:rsid w:val="00755528"/>
    <w:rsid w:val="00971A87"/>
    <w:rsid w:val="00A808ED"/>
    <w:rsid w:val="00BA0421"/>
    <w:rsid w:val="00C827BE"/>
    <w:rsid w:val="00CB5FC1"/>
    <w:rsid w:val="00CF7472"/>
    <w:rsid w:val="00D171D2"/>
    <w:rsid w:val="00D5202A"/>
    <w:rsid w:val="00E15B1E"/>
    <w:rsid w:val="00E85026"/>
    <w:rsid w:val="00E961D6"/>
    <w:rsid w:val="00EE0232"/>
    <w:rsid w:val="00F17B30"/>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0404E6-161C-4B84-89A0-327B9B3DBA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Overskrift1">
    <w:name w:val="heading 1"/>
    <w:basedOn w:val="Normal"/>
    <w:link w:val="Overskrift1Tegn"/>
    <w:uiPriority w:val="1"/>
    <w:qFormat/>
    <w:rsid w:val="005B54B8"/>
    <w:pPr>
      <w:widowControl w:val="0"/>
      <w:autoSpaceDE w:val="0"/>
      <w:autoSpaceDN w:val="0"/>
      <w:spacing w:after="0" w:line="240" w:lineRule="auto"/>
      <w:ind w:left="836"/>
      <w:outlineLvl w:val="0"/>
    </w:pPr>
    <w:rPr>
      <w:rFonts w:ascii="Cambria" w:eastAsia="Cambria" w:hAnsi="Cambria" w:cs="Cambria"/>
      <w:b/>
      <w:bCs/>
      <w:sz w:val="18"/>
      <w:szCs w:val="18"/>
      <w:lang w:val="en-US"/>
    </w:rPr>
  </w:style>
  <w:style w:type="paragraph" w:styleId="Overskrift2">
    <w:name w:val="heading 2"/>
    <w:basedOn w:val="Normal"/>
    <w:next w:val="Normal"/>
    <w:link w:val="Overskrift2Tegn"/>
    <w:uiPriority w:val="9"/>
    <w:semiHidden/>
    <w:unhideWhenUsed/>
    <w:qFormat/>
    <w:rsid w:val="00D171D2"/>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1"/>
    <w:rsid w:val="005B54B8"/>
    <w:rPr>
      <w:rFonts w:ascii="Cambria" w:eastAsia="Cambria" w:hAnsi="Cambria" w:cs="Cambria"/>
      <w:b/>
      <w:bCs/>
      <w:sz w:val="18"/>
      <w:szCs w:val="18"/>
      <w:lang w:val="en-US"/>
    </w:rPr>
  </w:style>
  <w:style w:type="paragraph" w:styleId="Brdtekst">
    <w:name w:val="Body Text"/>
    <w:basedOn w:val="Normal"/>
    <w:link w:val="BrdtekstTegn"/>
    <w:uiPriority w:val="1"/>
    <w:qFormat/>
    <w:rsid w:val="005B54B8"/>
    <w:pPr>
      <w:widowControl w:val="0"/>
      <w:autoSpaceDE w:val="0"/>
      <w:autoSpaceDN w:val="0"/>
      <w:spacing w:after="0" w:line="240" w:lineRule="auto"/>
    </w:pPr>
    <w:rPr>
      <w:rFonts w:ascii="FoundryFormSans-Book" w:eastAsia="FoundryFormSans-Book" w:hAnsi="FoundryFormSans-Book" w:cs="FoundryFormSans-Book"/>
      <w:sz w:val="18"/>
      <w:szCs w:val="18"/>
      <w:lang w:val="en-US"/>
    </w:rPr>
  </w:style>
  <w:style w:type="character" w:customStyle="1" w:styleId="BrdtekstTegn">
    <w:name w:val="Brødtekst Tegn"/>
    <w:basedOn w:val="Standardskrifttypeiafsnit"/>
    <w:link w:val="Brdtekst"/>
    <w:uiPriority w:val="1"/>
    <w:rsid w:val="005B54B8"/>
    <w:rPr>
      <w:rFonts w:ascii="FoundryFormSans-Book" w:eastAsia="FoundryFormSans-Book" w:hAnsi="FoundryFormSans-Book" w:cs="FoundryFormSans-Book"/>
      <w:sz w:val="18"/>
      <w:szCs w:val="18"/>
      <w:lang w:val="en-US"/>
    </w:rPr>
  </w:style>
  <w:style w:type="character" w:styleId="Kommentarhenvisning">
    <w:name w:val="annotation reference"/>
    <w:basedOn w:val="Standardskrifttypeiafsnit"/>
    <w:uiPriority w:val="99"/>
    <w:semiHidden/>
    <w:unhideWhenUsed/>
    <w:rsid w:val="005B54B8"/>
    <w:rPr>
      <w:sz w:val="16"/>
      <w:szCs w:val="16"/>
    </w:rPr>
  </w:style>
  <w:style w:type="paragraph" w:styleId="Kommentartekst">
    <w:name w:val="annotation text"/>
    <w:basedOn w:val="Normal"/>
    <w:link w:val="KommentartekstTegn"/>
    <w:uiPriority w:val="99"/>
    <w:semiHidden/>
    <w:unhideWhenUsed/>
    <w:rsid w:val="005B54B8"/>
    <w:pPr>
      <w:widowControl w:val="0"/>
      <w:autoSpaceDE w:val="0"/>
      <w:autoSpaceDN w:val="0"/>
      <w:spacing w:after="0" w:line="240" w:lineRule="auto"/>
    </w:pPr>
    <w:rPr>
      <w:rFonts w:ascii="FoundryFormSans-Book" w:eastAsia="FoundryFormSans-Book" w:hAnsi="FoundryFormSans-Book" w:cs="FoundryFormSans-Book"/>
      <w:sz w:val="20"/>
      <w:szCs w:val="20"/>
      <w:lang w:val="en-US"/>
    </w:rPr>
  </w:style>
  <w:style w:type="character" w:customStyle="1" w:styleId="KommentartekstTegn">
    <w:name w:val="Kommentartekst Tegn"/>
    <w:basedOn w:val="Standardskrifttypeiafsnit"/>
    <w:link w:val="Kommentartekst"/>
    <w:uiPriority w:val="99"/>
    <w:semiHidden/>
    <w:rsid w:val="005B54B8"/>
    <w:rPr>
      <w:rFonts w:ascii="FoundryFormSans-Book" w:eastAsia="FoundryFormSans-Book" w:hAnsi="FoundryFormSans-Book" w:cs="FoundryFormSans-Book"/>
      <w:sz w:val="20"/>
      <w:szCs w:val="20"/>
      <w:lang w:val="en-US"/>
    </w:rPr>
  </w:style>
  <w:style w:type="paragraph" w:styleId="Markeringsbobletekst">
    <w:name w:val="Balloon Text"/>
    <w:basedOn w:val="Normal"/>
    <w:link w:val="MarkeringsbobletekstTegn"/>
    <w:uiPriority w:val="99"/>
    <w:semiHidden/>
    <w:unhideWhenUsed/>
    <w:rsid w:val="005B54B8"/>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5B54B8"/>
    <w:rPr>
      <w:rFonts w:ascii="Segoe UI" w:hAnsi="Segoe UI" w:cs="Segoe UI"/>
      <w:sz w:val="18"/>
      <w:szCs w:val="18"/>
    </w:rPr>
  </w:style>
  <w:style w:type="character" w:styleId="Hyperlink">
    <w:name w:val="Hyperlink"/>
    <w:basedOn w:val="Standardskrifttypeiafsnit"/>
    <w:uiPriority w:val="99"/>
    <w:unhideWhenUsed/>
    <w:rsid w:val="006A135D"/>
    <w:rPr>
      <w:color w:val="0000FF" w:themeColor="hyperlink"/>
      <w:u w:val="single"/>
    </w:rPr>
  </w:style>
  <w:style w:type="character" w:customStyle="1" w:styleId="Overskrift2Tegn">
    <w:name w:val="Overskrift 2 Tegn"/>
    <w:basedOn w:val="Standardskrifttypeiafsnit"/>
    <w:link w:val="Overskrift2"/>
    <w:uiPriority w:val="9"/>
    <w:semiHidden/>
    <w:rsid w:val="00D171D2"/>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9C08BD-E35D-483E-8094-A42822ED09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5042A23</Template>
  <TotalTime>18</TotalTime>
  <Pages>2</Pages>
  <Words>1116</Words>
  <Characters>6812</Characters>
  <Application>Microsoft Office Word</Application>
  <DocSecurity>0</DocSecurity>
  <Lines>56</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Claus Holm</dc:creator>
  <cp:keywords/>
  <dc:description/>
  <cp:lastModifiedBy>Claus Holm</cp:lastModifiedBy>
  <cp:revision>5</cp:revision>
  <dcterms:created xsi:type="dcterms:W3CDTF">2017-12-03T19:57:00Z</dcterms:created>
  <dcterms:modified xsi:type="dcterms:W3CDTF">2017-12-17T10:35:00Z</dcterms:modified>
</cp:coreProperties>
</file>